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center"/>
        <w:rPr>
          <w:rFonts w:ascii="Arial" w:hAnsi="Arial" w:cs="Arial"/>
          <w:sz w:val="20"/>
          <w:szCs w:val="20"/>
        </w:rPr>
      </w:pPr>
      <w:r w:rsidRPr="007A072F">
        <w:rPr>
          <w:rFonts w:ascii="Arial" w:hAnsi="Arial" w:cs="Arial"/>
          <w:b/>
          <w:bCs/>
          <w:sz w:val="20"/>
          <w:szCs w:val="20"/>
        </w:rPr>
        <w:t>Objaśnienia przyjętych wartości do Wieloletniej Prognozy Finansowej Gminy Boniewo na lata 2020-2028.</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sz w:val="20"/>
          <w:szCs w:val="20"/>
        </w:rPr>
        <w:t>Obowiązek sporządzenia Wieloletniej Prognozy Finansowej jest jedną z zasadniczych zmian wprowadzonych ustawą z dnia 27 sierpnia 2009 roku odnoszących się do zagadnień gospodarki finansowej jednostek samorządu terytorialnego. Regulacja ta stwarza możliwość kompleksowej analizy sytuacji finansowej jednostki oraz możliwość oceny podejmowanych przedsięwzięć z perspektywy ich znaczenia dla samorządu. W zamyśle prawodawcy wieloletnia prognoza finansowa jednostki samorządu terytorialnego ma być instrumentem nowoczesnego zarządzania finansami publicznymi.</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sz w:val="20"/>
          <w:szCs w:val="20"/>
        </w:rPr>
        <w:t>W Wieloletniej Prognozie Finansowej Gminy Boniewo zastosowano wzory załączników (załącznik nr 1 oraz załącznik nr 2 do uchwały) zgodnie z Rozporządzeniem Ministra Finansów z dnia 10 stycznia 2013 roku w sprawie wieloletniej prognozy finansowej jednostki samorządu terytorialnego (Dz. U. z 2015 r. poz. 92) z uwzględnieniem zmian wynikających z Rozporządzenia Ministra Finansów, Inwestycji i Rozwoju z dnia 1 października 2019 r. zmieniającego rozporządzenie w sprawie wieloletniej prognozy finansowej jednostki samorządu terytorialnego (Dz. U. z 2019 r. poz. 1903).</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sz w:val="20"/>
          <w:szCs w:val="20"/>
        </w:rPr>
        <w:t>Podstawą opracowania Wieloletniej Prognozy Finansowej Gminy Boniewo jest projekt uchwały budżetowej na 2020 rok, dane sprawozdawcze z wykonania budżetu Gminy Boniewo za lata 2017 i 2018, wartości planowane na koniec III kwartału 2019 roku oraz wytyczne Ministra Finansów, Inwestycji i Rozwoju dotyczące założeń makroekonomicznych dla potrzeb sporządzania wieloletnich prognoz finansowych jednostek samorządu terytorialnego.</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sz w:val="20"/>
          <w:szCs w:val="20"/>
        </w:rPr>
        <w:t>Art. 227 ust. 1 ustawy z dnia 27 sierpnia 2009 roku o finansach publicznych (</w:t>
      </w:r>
      <w:proofErr w:type="spellStart"/>
      <w:r w:rsidRPr="007A072F">
        <w:rPr>
          <w:rFonts w:ascii="Arial" w:hAnsi="Arial" w:cs="Arial"/>
          <w:sz w:val="20"/>
          <w:szCs w:val="20"/>
        </w:rPr>
        <w:t>t.j</w:t>
      </w:r>
      <w:proofErr w:type="spellEnd"/>
      <w:r w:rsidRPr="007A072F">
        <w:rPr>
          <w:rFonts w:ascii="Arial" w:hAnsi="Arial" w:cs="Arial"/>
          <w:sz w:val="20"/>
          <w:szCs w:val="20"/>
        </w:rPr>
        <w:t>. Dz. U. z 2019 r. poz. 869 z </w:t>
      </w:r>
      <w:proofErr w:type="spellStart"/>
      <w:r w:rsidRPr="007A072F">
        <w:rPr>
          <w:rFonts w:ascii="Arial" w:hAnsi="Arial" w:cs="Arial"/>
          <w:sz w:val="20"/>
          <w:szCs w:val="20"/>
        </w:rPr>
        <w:t>późn</w:t>
      </w:r>
      <w:proofErr w:type="spellEnd"/>
      <w:r w:rsidRPr="007A072F">
        <w:rPr>
          <w:rFonts w:ascii="Arial" w:hAnsi="Arial" w:cs="Arial"/>
          <w:sz w:val="20"/>
          <w:szCs w:val="20"/>
        </w:rPr>
        <w:t>. zm.) zakłada, iż wieloletnia prognoza finansowa obejmuje okres roku budżetowego oraz co najmniej trzech kolejnych lat budżetowych. Z ust. 2 powołanego artykułu wynika, iż prognozę kwoty długu, stanowiącą integralną część wieloletniej prognozy finansowej, sporządza się na okres, na który zaciągnięto lub planuje się zaciągnąć zobowiązanie. Na dzień podjęcia uchwały, spłatę zobowiązań przewiduje się do roku 2028. W związku z powyższym, Wieloletnia Prognoza Finansowa Gminy Boniewo została przygotowana na lata 2020-2028.</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sz w:val="20"/>
          <w:szCs w:val="20"/>
        </w:rPr>
        <w:t>Kwoty wydatków wynikające z limitów wydatków na przedsięwzięcia nie wykraczają poza okres prognozy kwoty długu. Nie planuje się także wydatków z tytułu niewymagalnych poręczeń i gwarancji, które przekraczałyby okres prognozy kwoty długu.</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b/>
          <w:bCs/>
          <w:sz w:val="20"/>
          <w:szCs w:val="20"/>
        </w:rPr>
        <w:t>1. Założenia makroekonomiczne</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sz w:val="20"/>
          <w:szCs w:val="20"/>
        </w:rPr>
        <w:t>Przy opracowaniu prognozy pozycji budżetowych Gminy Boniewo wykorzystano dwa podstawowe mierniki koniunktury gospodarczej – produkt krajowy brutto (PKB) oraz wskaźnik inflacji (CPI). Na ich podstawie oszacowano wartości dochodów i wydatków Gminy Boniewo, co, dzięki konstrukcji i zaawansowanym metodom dokonywania obliczeń, pozwoli realizować w przyszłości właściwą politykę finansową jednostki.</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sz w:val="20"/>
          <w:szCs w:val="20"/>
        </w:rPr>
        <w:t>Zgodnie z zaleceniami Ministra właściwego ds. finansów, prognozę wskazanych pozycji oparto o Wytyczne dotyczące stosowania jednolitych wskaźników makroekonomicznych będących podstawą oszacowania skutków finansowych projektowanych ustaw. Ostatnia dostępna aktualizacja ww. wytycznych miała miejsce 28 października 2019 r., a dane wynikające z powołanego dokumentu prezentuje tabela 1.</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Arial" w:hAnsi="Arial" w:cs="Arial"/>
          <w:b/>
          <w:bCs/>
          <w:sz w:val="20"/>
          <w:szCs w:val="20"/>
        </w:rPr>
      </w:pP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Arial" w:hAnsi="Arial" w:cs="Arial"/>
          <w:b/>
          <w:bCs/>
          <w:sz w:val="20"/>
          <w:szCs w:val="20"/>
        </w:rPr>
      </w:pP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Arial" w:hAnsi="Arial" w:cs="Arial"/>
          <w:sz w:val="20"/>
          <w:szCs w:val="20"/>
        </w:rPr>
      </w:pPr>
      <w:r w:rsidRPr="007A072F">
        <w:rPr>
          <w:rFonts w:ascii="Arial" w:hAnsi="Arial" w:cs="Arial"/>
          <w:b/>
          <w:bCs/>
          <w:sz w:val="20"/>
          <w:szCs w:val="20"/>
        </w:rPr>
        <w:t>Tabela 1. Dane makroekonomiczne przyjęte do wyliczeń prognozy</w:t>
      </w:r>
    </w:p>
    <w:tbl>
      <w:tblPr>
        <w:tblW w:w="0" w:type="auto"/>
        <w:tblInd w:w="10" w:type="dxa"/>
        <w:tblLayout w:type="fixed"/>
        <w:tblCellMar>
          <w:left w:w="10" w:type="dxa"/>
          <w:right w:w="10" w:type="dxa"/>
        </w:tblCellMar>
        <w:tblLook w:val="0000"/>
      </w:tblPr>
      <w:tblGrid>
        <w:gridCol w:w="1080"/>
        <w:gridCol w:w="1080"/>
        <w:gridCol w:w="1080"/>
        <w:gridCol w:w="1080"/>
        <w:gridCol w:w="1080"/>
        <w:gridCol w:w="1080"/>
        <w:gridCol w:w="1080"/>
        <w:gridCol w:w="1080"/>
      </w:tblGrid>
      <w:tr w:rsidR="007A072F" w:rsidRPr="007A072F">
        <w:tc>
          <w:tcPr>
            <w:tcW w:w="1080"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center"/>
              <w:rPr>
                <w:rFonts w:ascii="Arial" w:hAnsi="Arial" w:cs="Arial"/>
                <w:sz w:val="20"/>
                <w:szCs w:val="20"/>
              </w:rPr>
            </w:pPr>
            <w:r w:rsidRPr="007A072F">
              <w:rPr>
                <w:rFonts w:ascii="Arial" w:hAnsi="Arial" w:cs="Arial"/>
                <w:b/>
                <w:bCs/>
                <w:sz w:val="20"/>
                <w:szCs w:val="20"/>
              </w:rPr>
              <w:t>Wskaźnik</w:t>
            </w:r>
          </w:p>
        </w:tc>
        <w:tc>
          <w:tcPr>
            <w:tcW w:w="1080"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center"/>
              <w:rPr>
                <w:rFonts w:ascii="Arial" w:hAnsi="Arial" w:cs="Arial"/>
                <w:sz w:val="20"/>
                <w:szCs w:val="20"/>
              </w:rPr>
            </w:pPr>
            <w:r w:rsidRPr="007A072F">
              <w:rPr>
                <w:rFonts w:ascii="Arial" w:hAnsi="Arial" w:cs="Arial"/>
                <w:b/>
                <w:bCs/>
                <w:sz w:val="20"/>
                <w:szCs w:val="20"/>
              </w:rPr>
              <w:t>2020</w:t>
            </w:r>
          </w:p>
        </w:tc>
        <w:tc>
          <w:tcPr>
            <w:tcW w:w="1080"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center"/>
              <w:rPr>
                <w:rFonts w:ascii="Arial" w:hAnsi="Arial" w:cs="Arial"/>
                <w:sz w:val="20"/>
                <w:szCs w:val="20"/>
              </w:rPr>
            </w:pPr>
            <w:r w:rsidRPr="007A072F">
              <w:rPr>
                <w:rFonts w:ascii="Arial" w:hAnsi="Arial" w:cs="Arial"/>
                <w:b/>
                <w:bCs/>
                <w:sz w:val="20"/>
                <w:szCs w:val="20"/>
              </w:rPr>
              <w:t>2021</w:t>
            </w:r>
          </w:p>
        </w:tc>
        <w:tc>
          <w:tcPr>
            <w:tcW w:w="1080"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center"/>
              <w:rPr>
                <w:rFonts w:ascii="Arial" w:hAnsi="Arial" w:cs="Arial"/>
                <w:sz w:val="20"/>
                <w:szCs w:val="20"/>
              </w:rPr>
            </w:pPr>
            <w:r w:rsidRPr="007A072F">
              <w:rPr>
                <w:rFonts w:ascii="Arial" w:hAnsi="Arial" w:cs="Arial"/>
                <w:b/>
                <w:bCs/>
                <w:sz w:val="20"/>
                <w:szCs w:val="20"/>
              </w:rPr>
              <w:t>2022</w:t>
            </w:r>
          </w:p>
        </w:tc>
        <w:tc>
          <w:tcPr>
            <w:tcW w:w="1080"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center"/>
              <w:rPr>
                <w:rFonts w:ascii="Arial" w:hAnsi="Arial" w:cs="Arial"/>
                <w:sz w:val="20"/>
                <w:szCs w:val="20"/>
              </w:rPr>
            </w:pPr>
            <w:r w:rsidRPr="007A072F">
              <w:rPr>
                <w:rFonts w:ascii="Arial" w:hAnsi="Arial" w:cs="Arial"/>
                <w:b/>
                <w:bCs/>
                <w:sz w:val="20"/>
                <w:szCs w:val="20"/>
              </w:rPr>
              <w:t>2023</w:t>
            </w:r>
          </w:p>
        </w:tc>
        <w:tc>
          <w:tcPr>
            <w:tcW w:w="1080"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center"/>
              <w:rPr>
                <w:rFonts w:ascii="Arial" w:hAnsi="Arial" w:cs="Arial"/>
                <w:sz w:val="20"/>
                <w:szCs w:val="20"/>
              </w:rPr>
            </w:pPr>
            <w:r w:rsidRPr="007A072F">
              <w:rPr>
                <w:rFonts w:ascii="Arial" w:hAnsi="Arial" w:cs="Arial"/>
                <w:b/>
                <w:bCs/>
                <w:sz w:val="20"/>
                <w:szCs w:val="20"/>
              </w:rPr>
              <w:t>2024</w:t>
            </w:r>
          </w:p>
        </w:tc>
        <w:tc>
          <w:tcPr>
            <w:tcW w:w="1080"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center"/>
              <w:rPr>
                <w:rFonts w:ascii="Arial" w:hAnsi="Arial" w:cs="Arial"/>
                <w:sz w:val="20"/>
                <w:szCs w:val="20"/>
              </w:rPr>
            </w:pPr>
            <w:r w:rsidRPr="007A072F">
              <w:rPr>
                <w:rFonts w:ascii="Arial" w:hAnsi="Arial" w:cs="Arial"/>
                <w:b/>
                <w:bCs/>
                <w:sz w:val="20"/>
                <w:szCs w:val="20"/>
              </w:rPr>
              <w:t>2025</w:t>
            </w:r>
          </w:p>
        </w:tc>
        <w:tc>
          <w:tcPr>
            <w:tcW w:w="1080"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center"/>
              <w:rPr>
                <w:rFonts w:ascii="Arial" w:hAnsi="Arial" w:cs="Arial"/>
                <w:sz w:val="20"/>
                <w:szCs w:val="20"/>
              </w:rPr>
            </w:pPr>
            <w:r w:rsidRPr="007A072F">
              <w:rPr>
                <w:rFonts w:ascii="Arial" w:hAnsi="Arial" w:cs="Arial"/>
                <w:b/>
                <w:bCs/>
                <w:sz w:val="20"/>
                <w:szCs w:val="20"/>
              </w:rPr>
              <w:t>2026</w:t>
            </w:r>
          </w:p>
        </w:tc>
      </w:tr>
      <w:tr w:rsidR="007A072F" w:rsidRPr="007A072F">
        <w:tc>
          <w:tcPr>
            <w:tcW w:w="108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Arial" w:hAnsi="Arial" w:cs="Arial"/>
                <w:sz w:val="20"/>
                <w:szCs w:val="20"/>
              </w:rPr>
            </w:pPr>
            <w:r w:rsidRPr="007A072F">
              <w:rPr>
                <w:rFonts w:ascii="Arial" w:hAnsi="Arial" w:cs="Arial"/>
                <w:b/>
                <w:bCs/>
                <w:sz w:val="20"/>
                <w:szCs w:val="20"/>
              </w:rPr>
              <w:lastRenderedPageBreak/>
              <w:t>PKB</w:t>
            </w:r>
          </w:p>
        </w:tc>
        <w:tc>
          <w:tcPr>
            <w:tcW w:w="108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3,70%</w:t>
            </w:r>
          </w:p>
        </w:tc>
        <w:tc>
          <w:tcPr>
            <w:tcW w:w="108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3,40%</w:t>
            </w:r>
          </w:p>
        </w:tc>
        <w:tc>
          <w:tcPr>
            <w:tcW w:w="108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3,30%</w:t>
            </w:r>
          </w:p>
        </w:tc>
        <w:tc>
          <w:tcPr>
            <w:tcW w:w="108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3,10%</w:t>
            </w:r>
          </w:p>
        </w:tc>
        <w:tc>
          <w:tcPr>
            <w:tcW w:w="108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3,00%</w:t>
            </w:r>
          </w:p>
        </w:tc>
        <w:tc>
          <w:tcPr>
            <w:tcW w:w="108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3,00%</w:t>
            </w:r>
          </w:p>
        </w:tc>
        <w:tc>
          <w:tcPr>
            <w:tcW w:w="108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3,00%</w:t>
            </w:r>
          </w:p>
        </w:tc>
      </w:tr>
      <w:tr w:rsidR="007A072F" w:rsidRPr="007A072F">
        <w:tc>
          <w:tcPr>
            <w:tcW w:w="108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Arial" w:hAnsi="Arial" w:cs="Arial"/>
                <w:sz w:val="20"/>
                <w:szCs w:val="20"/>
              </w:rPr>
            </w:pPr>
            <w:r w:rsidRPr="007A072F">
              <w:rPr>
                <w:rFonts w:ascii="Arial" w:hAnsi="Arial" w:cs="Arial"/>
                <w:b/>
                <w:bCs/>
                <w:sz w:val="20"/>
                <w:szCs w:val="20"/>
              </w:rPr>
              <w:t>Inflacja</w:t>
            </w:r>
          </w:p>
        </w:tc>
        <w:tc>
          <w:tcPr>
            <w:tcW w:w="108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2,50%</w:t>
            </w:r>
          </w:p>
        </w:tc>
        <w:tc>
          <w:tcPr>
            <w:tcW w:w="108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2,50%</w:t>
            </w:r>
          </w:p>
        </w:tc>
        <w:tc>
          <w:tcPr>
            <w:tcW w:w="108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2,50%</w:t>
            </w:r>
          </w:p>
        </w:tc>
        <w:tc>
          <w:tcPr>
            <w:tcW w:w="108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2,50%</w:t>
            </w:r>
          </w:p>
        </w:tc>
        <w:tc>
          <w:tcPr>
            <w:tcW w:w="108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2,50%</w:t>
            </w:r>
          </w:p>
        </w:tc>
        <w:tc>
          <w:tcPr>
            <w:tcW w:w="108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2,50%</w:t>
            </w:r>
          </w:p>
        </w:tc>
        <w:tc>
          <w:tcPr>
            <w:tcW w:w="108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2,50%</w:t>
            </w:r>
          </w:p>
        </w:tc>
      </w:tr>
      <w:tr w:rsidR="007A072F" w:rsidRPr="007A072F">
        <w:tc>
          <w:tcPr>
            <w:tcW w:w="108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Arial" w:hAnsi="Arial" w:cs="Arial"/>
                <w:sz w:val="20"/>
                <w:szCs w:val="20"/>
              </w:rPr>
            </w:pPr>
            <w:r w:rsidRPr="007A072F">
              <w:rPr>
                <w:rFonts w:ascii="Arial" w:hAnsi="Arial" w:cs="Arial"/>
                <w:b/>
                <w:bCs/>
                <w:sz w:val="20"/>
                <w:szCs w:val="20"/>
              </w:rPr>
              <w:t>Wynagrodzenia</w:t>
            </w:r>
          </w:p>
        </w:tc>
        <w:tc>
          <w:tcPr>
            <w:tcW w:w="108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3,40%</w:t>
            </w:r>
          </w:p>
        </w:tc>
        <w:tc>
          <w:tcPr>
            <w:tcW w:w="108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3,20%</w:t>
            </w:r>
          </w:p>
        </w:tc>
        <w:tc>
          <w:tcPr>
            <w:tcW w:w="108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3,20%</w:t>
            </w:r>
          </w:p>
        </w:tc>
        <w:tc>
          <w:tcPr>
            <w:tcW w:w="108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3,20%</w:t>
            </w:r>
          </w:p>
        </w:tc>
        <w:tc>
          <w:tcPr>
            <w:tcW w:w="108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3,20%</w:t>
            </w:r>
          </w:p>
        </w:tc>
        <w:tc>
          <w:tcPr>
            <w:tcW w:w="108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3,20%</w:t>
            </w:r>
          </w:p>
        </w:tc>
        <w:tc>
          <w:tcPr>
            <w:tcW w:w="108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3,10%</w:t>
            </w:r>
          </w:p>
        </w:tc>
      </w:tr>
      <w:tr w:rsidR="007A072F" w:rsidRPr="007A072F">
        <w:tc>
          <w:tcPr>
            <w:tcW w:w="1080"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center"/>
              <w:rPr>
                <w:rFonts w:ascii="Arial" w:hAnsi="Arial" w:cs="Arial"/>
                <w:sz w:val="20"/>
                <w:szCs w:val="20"/>
              </w:rPr>
            </w:pPr>
            <w:r w:rsidRPr="007A072F">
              <w:rPr>
                <w:rFonts w:ascii="Arial" w:hAnsi="Arial" w:cs="Arial"/>
                <w:b/>
                <w:bCs/>
                <w:sz w:val="20"/>
                <w:szCs w:val="20"/>
              </w:rPr>
              <w:t>Wskaźnik</w:t>
            </w:r>
          </w:p>
        </w:tc>
        <w:tc>
          <w:tcPr>
            <w:tcW w:w="1080"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center"/>
              <w:rPr>
                <w:rFonts w:ascii="Arial" w:hAnsi="Arial" w:cs="Arial"/>
                <w:sz w:val="20"/>
                <w:szCs w:val="20"/>
              </w:rPr>
            </w:pPr>
            <w:r w:rsidRPr="007A072F">
              <w:rPr>
                <w:rFonts w:ascii="Arial" w:hAnsi="Arial" w:cs="Arial"/>
                <w:b/>
                <w:bCs/>
                <w:sz w:val="20"/>
                <w:szCs w:val="20"/>
              </w:rPr>
              <w:t>2027</w:t>
            </w:r>
          </w:p>
        </w:tc>
        <w:tc>
          <w:tcPr>
            <w:tcW w:w="1080"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center"/>
              <w:rPr>
                <w:rFonts w:ascii="Arial" w:hAnsi="Arial" w:cs="Arial"/>
                <w:sz w:val="20"/>
                <w:szCs w:val="20"/>
              </w:rPr>
            </w:pPr>
            <w:r w:rsidRPr="007A072F">
              <w:rPr>
                <w:rFonts w:ascii="Arial" w:hAnsi="Arial" w:cs="Arial"/>
                <w:b/>
                <w:bCs/>
                <w:sz w:val="20"/>
                <w:szCs w:val="20"/>
              </w:rPr>
              <w:t>2028</w:t>
            </w:r>
          </w:p>
        </w:tc>
        <w:tc>
          <w:tcPr>
            <w:tcW w:w="5400" w:type="dxa"/>
            <w:gridSpan w:val="5"/>
            <w:vMerge w:val="restart"/>
            <w:tcBorders>
              <w:top w:val="single" w:sz="4" w:space="0" w:color="auto"/>
              <w:left w:val="nil"/>
              <w:bottom w:val="single" w:sz="4" w:space="0" w:color="auto"/>
              <w:right w:val="nil"/>
            </w:tcBorders>
            <w:tcMar>
              <w:left w:w="0" w:type="dxa"/>
              <w:right w:w="0" w:type="dxa"/>
            </w:tcMar>
            <w:vAlign w:val="center"/>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Arial" w:hAnsi="Arial" w:cs="Arial"/>
                <w:sz w:val="20"/>
                <w:szCs w:val="20"/>
              </w:rPr>
            </w:pPr>
          </w:p>
        </w:tc>
      </w:tr>
      <w:tr w:rsidR="007A072F" w:rsidRPr="007A072F">
        <w:tc>
          <w:tcPr>
            <w:tcW w:w="108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Arial" w:hAnsi="Arial" w:cs="Arial"/>
                <w:sz w:val="20"/>
                <w:szCs w:val="20"/>
              </w:rPr>
            </w:pPr>
            <w:r w:rsidRPr="007A072F">
              <w:rPr>
                <w:rFonts w:ascii="Arial" w:hAnsi="Arial" w:cs="Arial"/>
                <w:b/>
                <w:bCs/>
                <w:sz w:val="20"/>
                <w:szCs w:val="20"/>
              </w:rPr>
              <w:t>PKB</w:t>
            </w:r>
          </w:p>
        </w:tc>
        <w:tc>
          <w:tcPr>
            <w:tcW w:w="108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2,90%</w:t>
            </w:r>
          </w:p>
        </w:tc>
        <w:tc>
          <w:tcPr>
            <w:tcW w:w="108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2,80%</w:t>
            </w:r>
          </w:p>
        </w:tc>
        <w:tc>
          <w:tcPr>
            <w:tcW w:w="5400" w:type="dxa"/>
            <w:gridSpan w:val="5"/>
            <w:vMerge/>
            <w:tcBorders>
              <w:top w:val="nil"/>
              <w:left w:val="nil"/>
              <w:bottom w:val="single" w:sz="4" w:space="0" w:color="auto"/>
              <w:right w:val="nil"/>
            </w:tcBorders>
            <w:tcMar>
              <w:left w:w="0" w:type="dxa"/>
            </w:tcMar>
          </w:tcPr>
          <w:p w:rsidR="007A072F" w:rsidRPr="007A072F" w:rsidRDefault="007A072F" w:rsidP="007A072F">
            <w:pPr>
              <w:widowControl w:val="0"/>
              <w:autoSpaceDE w:val="0"/>
              <w:autoSpaceDN w:val="0"/>
              <w:adjustRightInd w:val="0"/>
              <w:spacing w:after="0" w:line="240" w:lineRule="auto"/>
              <w:rPr>
                <w:rFonts w:ascii="Arial" w:hAnsi="Arial" w:cs="Arial"/>
                <w:sz w:val="20"/>
                <w:szCs w:val="20"/>
              </w:rPr>
            </w:pPr>
          </w:p>
        </w:tc>
      </w:tr>
      <w:tr w:rsidR="007A072F" w:rsidRPr="007A072F">
        <w:tc>
          <w:tcPr>
            <w:tcW w:w="108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Arial" w:hAnsi="Arial" w:cs="Arial"/>
                <w:sz w:val="20"/>
                <w:szCs w:val="20"/>
              </w:rPr>
            </w:pPr>
            <w:r w:rsidRPr="007A072F">
              <w:rPr>
                <w:rFonts w:ascii="Arial" w:hAnsi="Arial" w:cs="Arial"/>
                <w:b/>
                <w:bCs/>
                <w:sz w:val="20"/>
                <w:szCs w:val="20"/>
              </w:rPr>
              <w:t>Inflacja</w:t>
            </w:r>
          </w:p>
        </w:tc>
        <w:tc>
          <w:tcPr>
            <w:tcW w:w="108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2,50%</w:t>
            </w:r>
          </w:p>
        </w:tc>
        <w:tc>
          <w:tcPr>
            <w:tcW w:w="108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2,50%</w:t>
            </w:r>
          </w:p>
        </w:tc>
        <w:tc>
          <w:tcPr>
            <w:tcW w:w="5400" w:type="dxa"/>
            <w:gridSpan w:val="5"/>
            <w:vMerge/>
            <w:tcBorders>
              <w:top w:val="nil"/>
              <w:left w:val="nil"/>
              <w:bottom w:val="single" w:sz="4" w:space="0" w:color="auto"/>
              <w:right w:val="nil"/>
            </w:tcBorders>
            <w:tcMar>
              <w:left w:w="0" w:type="dxa"/>
            </w:tcMar>
          </w:tcPr>
          <w:p w:rsidR="007A072F" w:rsidRPr="007A072F" w:rsidRDefault="007A072F" w:rsidP="007A072F">
            <w:pPr>
              <w:widowControl w:val="0"/>
              <w:autoSpaceDE w:val="0"/>
              <w:autoSpaceDN w:val="0"/>
              <w:adjustRightInd w:val="0"/>
              <w:spacing w:after="0" w:line="240" w:lineRule="auto"/>
              <w:rPr>
                <w:rFonts w:ascii="Arial" w:hAnsi="Arial" w:cs="Arial"/>
                <w:sz w:val="20"/>
                <w:szCs w:val="20"/>
              </w:rPr>
            </w:pPr>
          </w:p>
        </w:tc>
      </w:tr>
      <w:tr w:rsidR="007A072F" w:rsidRPr="007A072F">
        <w:tc>
          <w:tcPr>
            <w:tcW w:w="108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Arial" w:hAnsi="Arial" w:cs="Arial"/>
                <w:sz w:val="20"/>
                <w:szCs w:val="20"/>
              </w:rPr>
            </w:pPr>
            <w:r w:rsidRPr="007A072F">
              <w:rPr>
                <w:rFonts w:ascii="Arial" w:hAnsi="Arial" w:cs="Arial"/>
                <w:b/>
                <w:bCs/>
                <w:sz w:val="20"/>
                <w:szCs w:val="20"/>
              </w:rPr>
              <w:t>Wynagrodzenia</w:t>
            </w:r>
          </w:p>
        </w:tc>
        <w:tc>
          <w:tcPr>
            <w:tcW w:w="108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3,10%</w:t>
            </w:r>
          </w:p>
        </w:tc>
        <w:tc>
          <w:tcPr>
            <w:tcW w:w="108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3,10%</w:t>
            </w:r>
          </w:p>
        </w:tc>
        <w:tc>
          <w:tcPr>
            <w:tcW w:w="5400" w:type="dxa"/>
            <w:gridSpan w:val="5"/>
            <w:vMerge/>
            <w:tcBorders>
              <w:top w:val="nil"/>
              <w:left w:val="nil"/>
              <w:bottom w:val="single" w:sz="4" w:space="0" w:color="auto"/>
              <w:right w:val="nil"/>
            </w:tcBorders>
            <w:tcMar>
              <w:left w:w="0" w:type="dxa"/>
            </w:tcMar>
          </w:tcPr>
          <w:p w:rsidR="007A072F" w:rsidRPr="007A072F" w:rsidRDefault="007A072F" w:rsidP="007A072F">
            <w:pPr>
              <w:widowControl w:val="0"/>
              <w:autoSpaceDE w:val="0"/>
              <w:autoSpaceDN w:val="0"/>
              <w:adjustRightInd w:val="0"/>
              <w:spacing w:after="0" w:line="240" w:lineRule="auto"/>
              <w:rPr>
                <w:rFonts w:ascii="Arial" w:hAnsi="Arial" w:cs="Arial"/>
                <w:sz w:val="20"/>
                <w:szCs w:val="20"/>
              </w:rPr>
            </w:pPr>
          </w:p>
        </w:tc>
      </w:tr>
    </w:tbl>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sz w:val="20"/>
          <w:szCs w:val="20"/>
        </w:rPr>
        <w:t>Źródło: Wytyczne dotyczące stosowania jednolitych wskaźników makroekonomicznych będących podstawą oszacowania skutków finansowych projektowanych ustaw. Aktualizacja – 28 października 2019 r., (www.mf.gov.pl), Warszawa 2019.</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sz w:val="20"/>
          <w:szCs w:val="20"/>
        </w:rPr>
        <w:t>Prognozę oparto o następujące założenia:</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60" w:line="240" w:lineRule="auto"/>
        <w:rPr>
          <w:rFonts w:ascii="Arial" w:hAnsi="Arial" w:cs="Arial"/>
          <w:sz w:val="20"/>
          <w:szCs w:val="20"/>
        </w:rPr>
      </w:pPr>
      <w:r w:rsidRPr="007A072F">
        <w:rPr>
          <w:rFonts w:ascii="Arial" w:hAnsi="Arial" w:cs="Arial"/>
          <w:sz w:val="20"/>
          <w:szCs w:val="20"/>
        </w:rPr>
        <w:tab/>
        <w:t>1) dla roku 2020 przyjęto wartości wynikające z projektu budżetu;</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sz w:val="20"/>
          <w:szCs w:val="20"/>
        </w:rPr>
        <w:tab/>
        <w:t>2) dla lat 2021-2028 prognozę wykonano poprzez indeksację o wskaźniki dynamiki inflacji, dynamiki PKB oraz dynamiki realnej wynagrodzeń brutto.</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sz w:val="20"/>
          <w:szCs w:val="20"/>
        </w:rPr>
        <w:t>Podzielenie prognozy w powyższy sposób pozwala na realną ocenę możliwości inwestycyjno-kredytowych gminy.</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sz w:val="20"/>
          <w:szCs w:val="20"/>
        </w:rPr>
        <w:t>Zgodnie z przyjętym założeniem, dochody i wydatki bieżące w roku 2020 uwzględnione w WPF wynikają z wartości zawartych w projekcie budżetu na 2020 rok. Od 2021 roku dochody i wydatki bieżące ustalono za pomocą wskaźników inflacji, wskaźnika dynamiki PKB oraz wskaźnika dynamiki realnej wynagrodzeń brutto. W tym celu, posłużono się metodą indeksacji wartości bazowych o odpowiednio przypisany dla każdej kategorii budżetowej wskaźnik. Waga zmiennej makroekonomicznej oznacza w jakim stopniu dochody lub wydatki zależą od poziomu wskaźnika z danego roku. Indeksowana zostaje wartość na rok przyszły.</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sz w:val="20"/>
          <w:szCs w:val="20"/>
        </w:rPr>
        <w:t>Sposób indeksacji za pomocą wag przedstawia poniższy wzór:</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center"/>
        <w:rPr>
          <w:rFonts w:ascii="Arial" w:hAnsi="Arial" w:cs="Arial"/>
          <w:sz w:val="20"/>
          <w:szCs w:val="20"/>
        </w:rPr>
      </w:pPr>
      <w:r>
        <w:rPr>
          <w:rFonts w:ascii="Calibri" w:hAnsi="Calibri" w:cs="Calibri"/>
          <w:noProof/>
          <w:sz w:val="20"/>
          <w:szCs w:val="20"/>
          <w:lang w:eastAsia="pl-PL"/>
        </w:rPr>
        <w:drawing>
          <wp:inline distT="0" distB="0" distL="0" distR="0">
            <wp:extent cx="4152900" cy="152400"/>
            <wp:effectExtent l="1905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4152900" cy="152400"/>
                    </a:xfrm>
                    <a:prstGeom prst="rect">
                      <a:avLst/>
                    </a:prstGeom>
                    <a:noFill/>
                    <a:ln w="9525">
                      <a:noFill/>
                      <a:miter lim="800000"/>
                      <a:headEnd/>
                      <a:tailEnd/>
                    </a:ln>
                  </pic:spPr>
                </pic:pic>
              </a:graphicData>
            </a:graphic>
          </wp:inline>
        </w:drawing>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60" w:line="240" w:lineRule="auto"/>
        <w:rPr>
          <w:rFonts w:ascii="Arial" w:hAnsi="Arial" w:cs="Arial"/>
          <w:sz w:val="20"/>
          <w:szCs w:val="20"/>
        </w:rPr>
      </w:pPr>
      <w:r w:rsidRPr="007A072F">
        <w:rPr>
          <w:rFonts w:ascii="Arial" w:hAnsi="Arial" w:cs="Arial"/>
          <w:sz w:val="20"/>
          <w:szCs w:val="20"/>
        </w:rPr>
        <w:t>gdzie:</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60" w:line="240" w:lineRule="auto"/>
        <w:rPr>
          <w:rFonts w:ascii="Arial" w:hAnsi="Arial" w:cs="Arial"/>
          <w:sz w:val="20"/>
          <w:szCs w:val="20"/>
        </w:rPr>
      </w:pPr>
      <w:r>
        <w:rPr>
          <w:rFonts w:ascii="Calibri" w:hAnsi="Calibri" w:cs="Calibri"/>
          <w:noProof/>
          <w:sz w:val="20"/>
          <w:szCs w:val="20"/>
          <w:lang w:eastAsia="pl-PL"/>
        </w:rPr>
        <w:drawing>
          <wp:inline distT="0" distB="0" distL="0" distR="0">
            <wp:extent cx="123825" cy="152400"/>
            <wp:effectExtent l="19050" t="0" r="9525"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a:stretch>
                      <a:fillRect/>
                    </a:stretch>
                  </pic:blipFill>
                  <pic:spPr bwMode="auto">
                    <a:xfrm>
                      <a:off x="0" y="0"/>
                      <a:ext cx="123825" cy="152400"/>
                    </a:xfrm>
                    <a:prstGeom prst="rect">
                      <a:avLst/>
                    </a:prstGeom>
                    <a:noFill/>
                    <a:ln w="9525">
                      <a:noFill/>
                      <a:miter lim="800000"/>
                      <a:headEnd/>
                      <a:tailEnd/>
                    </a:ln>
                  </pic:spPr>
                </pic:pic>
              </a:graphicData>
            </a:graphic>
          </wp:inline>
        </w:drawing>
      </w:r>
      <w:r w:rsidRPr="007A072F">
        <w:rPr>
          <w:rFonts w:ascii="Arial" w:hAnsi="Arial" w:cs="Arial"/>
          <w:sz w:val="20"/>
          <w:szCs w:val="20"/>
        </w:rPr>
        <w:t xml:space="preserve"> - wartość prognozowana danej kategorii dochodów bądź wydatków budżetowych;</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60" w:line="240" w:lineRule="auto"/>
        <w:rPr>
          <w:rFonts w:ascii="Arial" w:hAnsi="Arial" w:cs="Arial"/>
          <w:sz w:val="20"/>
          <w:szCs w:val="20"/>
        </w:rPr>
      </w:pPr>
      <w:r>
        <w:rPr>
          <w:rFonts w:ascii="Calibri" w:hAnsi="Calibri" w:cs="Calibri"/>
          <w:noProof/>
          <w:sz w:val="20"/>
          <w:szCs w:val="20"/>
          <w:lang w:eastAsia="pl-PL"/>
        </w:rPr>
        <w:drawing>
          <wp:inline distT="0" distB="0" distL="0" distR="0">
            <wp:extent cx="123825" cy="152400"/>
            <wp:effectExtent l="19050" t="0" r="9525"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srcRect/>
                    <a:stretch>
                      <a:fillRect/>
                    </a:stretch>
                  </pic:blipFill>
                  <pic:spPr bwMode="auto">
                    <a:xfrm>
                      <a:off x="0" y="0"/>
                      <a:ext cx="123825" cy="152400"/>
                    </a:xfrm>
                    <a:prstGeom prst="rect">
                      <a:avLst/>
                    </a:prstGeom>
                    <a:noFill/>
                    <a:ln w="9525">
                      <a:noFill/>
                      <a:miter lim="800000"/>
                      <a:headEnd/>
                      <a:tailEnd/>
                    </a:ln>
                  </pic:spPr>
                </pic:pic>
              </a:graphicData>
            </a:graphic>
          </wp:inline>
        </w:drawing>
      </w:r>
      <w:r w:rsidRPr="007A072F">
        <w:rPr>
          <w:rFonts w:ascii="Arial" w:hAnsi="Arial" w:cs="Arial"/>
          <w:sz w:val="20"/>
          <w:szCs w:val="20"/>
        </w:rPr>
        <w:t xml:space="preserve"> - wartość danej kategorii dochodów bądź wydatków budżetowych w roku poprzedzającym;</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60" w:line="240" w:lineRule="auto"/>
        <w:rPr>
          <w:rFonts w:ascii="Arial" w:hAnsi="Arial" w:cs="Arial"/>
          <w:sz w:val="20"/>
          <w:szCs w:val="20"/>
        </w:rPr>
      </w:pPr>
      <w:r>
        <w:rPr>
          <w:rFonts w:ascii="Calibri" w:hAnsi="Calibri" w:cs="Calibri"/>
          <w:noProof/>
          <w:sz w:val="20"/>
          <w:szCs w:val="20"/>
          <w:lang w:eastAsia="pl-PL"/>
        </w:rPr>
        <w:drawing>
          <wp:inline distT="0" distB="0" distL="0" distR="0">
            <wp:extent cx="238125" cy="152400"/>
            <wp:effectExtent l="19050" t="0" r="9525"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a:stretch>
                      <a:fillRect/>
                    </a:stretch>
                  </pic:blipFill>
                  <pic:spPr bwMode="auto">
                    <a:xfrm>
                      <a:off x="0" y="0"/>
                      <a:ext cx="238125" cy="152400"/>
                    </a:xfrm>
                    <a:prstGeom prst="rect">
                      <a:avLst/>
                    </a:prstGeom>
                    <a:noFill/>
                    <a:ln w="9525">
                      <a:noFill/>
                      <a:miter lim="800000"/>
                      <a:headEnd/>
                      <a:tailEnd/>
                    </a:ln>
                  </pic:spPr>
                </pic:pic>
              </a:graphicData>
            </a:graphic>
          </wp:inline>
        </w:drawing>
      </w:r>
      <w:r w:rsidRPr="007A072F">
        <w:rPr>
          <w:rFonts w:ascii="Arial" w:hAnsi="Arial" w:cs="Arial"/>
          <w:sz w:val="20"/>
          <w:szCs w:val="20"/>
        </w:rPr>
        <w:t xml:space="preserve"> - wartość wskaźnika inflacji w roku prognozowanym;</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60" w:line="240" w:lineRule="auto"/>
        <w:rPr>
          <w:rFonts w:ascii="Arial" w:hAnsi="Arial" w:cs="Arial"/>
          <w:sz w:val="20"/>
          <w:szCs w:val="20"/>
        </w:rPr>
      </w:pPr>
      <w:r>
        <w:rPr>
          <w:rFonts w:ascii="Calibri" w:hAnsi="Calibri" w:cs="Calibri"/>
          <w:noProof/>
          <w:sz w:val="20"/>
          <w:szCs w:val="20"/>
          <w:lang w:eastAsia="pl-PL"/>
        </w:rPr>
        <w:drawing>
          <wp:inline distT="0" distB="0" distL="0" distR="0">
            <wp:extent cx="266700" cy="152400"/>
            <wp:effectExtent l="1905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srcRect/>
                    <a:stretch>
                      <a:fillRect/>
                    </a:stretch>
                  </pic:blipFill>
                  <pic:spPr bwMode="auto">
                    <a:xfrm>
                      <a:off x="0" y="0"/>
                      <a:ext cx="266700" cy="152400"/>
                    </a:xfrm>
                    <a:prstGeom prst="rect">
                      <a:avLst/>
                    </a:prstGeom>
                    <a:noFill/>
                    <a:ln w="9525">
                      <a:noFill/>
                      <a:miter lim="800000"/>
                      <a:headEnd/>
                      <a:tailEnd/>
                    </a:ln>
                  </pic:spPr>
                </pic:pic>
              </a:graphicData>
            </a:graphic>
          </wp:inline>
        </w:drawing>
      </w:r>
      <w:r w:rsidRPr="007A072F">
        <w:rPr>
          <w:rFonts w:ascii="Arial" w:hAnsi="Arial" w:cs="Arial"/>
          <w:sz w:val="20"/>
          <w:szCs w:val="20"/>
        </w:rPr>
        <w:t xml:space="preserve"> - waga przypisana wskaźnikowi CPI, będąca jego rzeczywistym wpływem na prognozowaną kategorię;</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60" w:line="240" w:lineRule="auto"/>
        <w:rPr>
          <w:rFonts w:ascii="Arial" w:hAnsi="Arial" w:cs="Arial"/>
          <w:sz w:val="20"/>
          <w:szCs w:val="20"/>
        </w:rPr>
      </w:pPr>
      <w:r>
        <w:rPr>
          <w:rFonts w:ascii="Calibri" w:hAnsi="Calibri" w:cs="Calibri"/>
          <w:noProof/>
          <w:sz w:val="20"/>
          <w:szCs w:val="20"/>
          <w:lang w:eastAsia="pl-PL"/>
        </w:rPr>
        <w:drawing>
          <wp:inline distT="0" distB="0" distL="0" distR="0">
            <wp:extent cx="295275" cy="152400"/>
            <wp:effectExtent l="19050" t="0" r="9525"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srcRect/>
                    <a:stretch>
                      <a:fillRect/>
                    </a:stretch>
                  </pic:blipFill>
                  <pic:spPr bwMode="auto">
                    <a:xfrm>
                      <a:off x="0" y="0"/>
                      <a:ext cx="295275" cy="152400"/>
                    </a:xfrm>
                    <a:prstGeom prst="rect">
                      <a:avLst/>
                    </a:prstGeom>
                    <a:noFill/>
                    <a:ln w="9525">
                      <a:noFill/>
                      <a:miter lim="800000"/>
                      <a:headEnd/>
                      <a:tailEnd/>
                    </a:ln>
                  </pic:spPr>
                </pic:pic>
              </a:graphicData>
            </a:graphic>
          </wp:inline>
        </w:drawing>
      </w:r>
      <w:r w:rsidRPr="007A072F">
        <w:rPr>
          <w:rFonts w:ascii="Arial" w:hAnsi="Arial" w:cs="Arial"/>
          <w:sz w:val="20"/>
          <w:szCs w:val="20"/>
        </w:rPr>
        <w:t xml:space="preserve"> - wskaźnik dynamiki PKB;</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Pr>
          <w:rFonts w:ascii="Calibri" w:hAnsi="Calibri" w:cs="Calibri"/>
          <w:noProof/>
          <w:sz w:val="20"/>
          <w:szCs w:val="20"/>
          <w:lang w:eastAsia="pl-PL"/>
        </w:rPr>
        <w:drawing>
          <wp:inline distT="0" distB="0" distL="0" distR="0">
            <wp:extent cx="304800" cy="152400"/>
            <wp:effectExtent l="1905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a:stretch>
                      <a:fillRect/>
                    </a:stretch>
                  </pic:blipFill>
                  <pic:spPr bwMode="auto">
                    <a:xfrm>
                      <a:off x="0" y="0"/>
                      <a:ext cx="304800" cy="152400"/>
                    </a:xfrm>
                    <a:prstGeom prst="rect">
                      <a:avLst/>
                    </a:prstGeom>
                    <a:noFill/>
                    <a:ln w="9525">
                      <a:noFill/>
                      <a:miter lim="800000"/>
                      <a:headEnd/>
                      <a:tailEnd/>
                    </a:ln>
                  </pic:spPr>
                </pic:pic>
              </a:graphicData>
            </a:graphic>
          </wp:inline>
        </w:drawing>
      </w:r>
      <w:r w:rsidRPr="007A072F">
        <w:rPr>
          <w:rFonts w:ascii="Arial" w:hAnsi="Arial" w:cs="Arial"/>
          <w:sz w:val="20"/>
          <w:szCs w:val="20"/>
        </w:rPr>
        <w:t xml:space="preserve"> - waga przypisana wskaźnikowi dynamiki PKB, będąca jego rzeczywistym wpływem na prognozowaną kategorię;</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60" w:line="240" w:lineRule="auto"/>
        <w:rPr>
          <w:rFonts w:ascii="Arial" w:hAnsi="Arial" w:cs="Arial"/>
          <w:sz w:val="20"/>
          <w:szCs w:val="20"/>
        </w:rPr>
      </w:pPr>
      <w:r>
        <w:rPr>
          <w:rFonts w:ascii="Calibri" w:hAnsi="Calibri" w:cs="Calibri"/>
          <w:noProof/>
          <w:sz w:val="20"/>
          <w:szCs w:val="20"/>
          <w:lang w:eastAsia="pl-PL"/>
        </w:rPr>
        <w:drawing>
          <wp:inline distT="0" distB="0" distL="0" distR="0">
            <wp:extent cx="228600" cy="152400"/>
            <wp:effectExtent l="1905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Pr="007A072F">
        <w:rPr>
          <w:rFonts w:ascii="Arial" w:hAnsi="Arial" w:cs="Arial"/>
          <w:sz w:val="20"/>
          <w:szCs w:val="20"/>
        </w:rPr>
        <w:t xml:space="preserve"> - wskaźnik dynamiki realnej wynagrodzeń brutto w gospodarce narodowej;</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Pr>
          <w:rFonts w:ascii="Calibri" w:hAnsi="Calibri" w:cs="Calibri"/>
          <w:noProof/>
          <w:sz w:val="20"/>
          <w:szCs w:val="20"/>
          <w:lang w:eastAsia="pl-PL"/>
        </w:rPr>
        <w:drawing>
          <wp:inline distT="0" distB="0" distL="0" distR="0">
            <wp:extent cx="266700" cy="152400"/>
            <wp:effectExtent l="1905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srcRect/>
                    <a:stretch>
                      <a:fillRect/>
                    </a:stretch>
                  </pic:blipFill>
                  <pic:spPr bwMode="auto">
                    <a:xfrm>
                      <a:off x="0" y="0"/>
                      <a:ext cx="266700" cy="152400"/>
                    </a:xfrm>
                    <a:prstGeom prst="rect">
                      <a:avLst/>
                    </a:prstGeom>
                    <a:noFill/>
                    <a:ln w="9525">
                      <a:noFill/>
                      <a:miter lim="800000"/>
                      <a:headEnd/>
                      <a:tailEnd/>
                    </a:ln>
                  </pic:spPr>
                </pic:pic>
              </a:graphicData>
            </a:graphic>
          </wp:inline>
        </w:drawing>
      </w:r>
      <w:r w:rsidRPr="007A072F">
        <w:rPr>
          <w:rFonts w:ascii="Arial" w:hAnsi="Arial" w:cs="Arial"/>
          <w:sz w:val="20"/>
          <w:szCs w:val="20"/>
        </w:rPr>
        <w:t xml:space="preserve"> - waga przypisana wskaźnikowi dynamiki WB, będąca jego rzeczywistym wpływem na prognozowaną kategorię.</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b/>
          <w:bCs/>
          <w:sz w:val="20"/>
          <w:szCs w:val="20"/>
        </w:rPr>
        <w:t>2. Dochody</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sz w:val="20"/>
          <w:szCs w:val="20"/>
        </w:rPr>
        <w:t xml:space="preserve">Prognozy dochodów Gminy Boniewo dokonano w podziałach merytorycznych, a następnie </w:t>
      </w:r>
      <w:r w:rsidRPr="007A072F">
        <w:rPr>
          <w:rFonts w:ascii="Arial" w:hAnsi="Arial" w:cs="Arial"/>
          <w:sz w:val="20"/>
          <w:szCs w:val="20"/>
        </w:rPr>
        <w:lastRenderedPageBreak/>
        <w:t>sklasyfikowano w podziały wymagane ustawowo. Podział merytoryczny został sporządzony za pomocą paragrafów klasyfikacji budżetowej i objął dochody bieżące i majątkowe.</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sz w:val="20"/>
          <w:szCs w:val="20"/>
        </w:rPr>
        <w:t>Dochody bieżące prognozowano w podziale na:</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60" w:line="240" w:lineRule="auto"/>
        <w:rPr>
          <w:rFonts w:ascii="Arial" w:hAnsi="Arial" w:cs="Arial"/>
          <w:sz w:val="20"/>
          <w:szCs w:val="20"/>
        </w:rPr>
      </w:pPr>
      <w:r w:rsidRPr="007A072F">
        <w:rPr>
          <w:rFonts w:ascii="Arial" w:hAnsi="Arial" w:cs="Arial"/>
          <w:sz w:val="20"/>
          <w:szCs w:val="20"/>
        </w:rPr>
        <w:tab/>
        <w:t>1. dochody z tytułu udziału we wpływach z podatku dochodowego od osób fizycznych;</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60" w:line="240" w:lineRule="auto"/>
        <w:rPr>
          <w:rFonts w:ascii="Arial" w:hAnsi="Arial" w:cs="Arial"/>
          <w:sz w:val="20"/>
          <w:szCs w:val="20"/>
        </w:rPr>
      </w:pPr>
      <w:r w:rsidRPr="007A072F">
        <w:rPr>
          <w:rFonts w:ascii="Arial" w:hAnsi="Arial" w:cs="Arial"/>
          <w:sz w:val="20"/>
          <w:szCs w:val="20"/>
        </w:rPr>
        <w:tab/>
        <w:t>2. dochody z tytułu udziału we wpływach z podatku dochodowego od osób prawnych;</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60" w:line="240" w:lineRule="auto"/>
        <w:rPr>
          <w:rFonts w:ascii="Arial" w:hAnsi="Arial" w:cs="Arial"/>
          <w:sz w:val="20"/>
          <w:szCs w:val="20"/>
        </w:rPr>
      </w:pPr>
      <w:r w:rsidRPr="007A072F">
        <w:rPr>
          <w:rFonts w:ascii="Arial" w:hAnsi="Arial" w:cs="Arial"/>
          <w:sz w:val="20"/>
          <w:szCs w:val="20"/>
        </w:rPr>
        <w:tab/>
        <w:t>3. subwencję ogólną;</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60" w:line="240" w:lineRule="auto"/>
        <w:rPr>
          <w:rFonts w:ascii="Arial" w:hAnsi="Arial" w:cs="Arial"/>
          <w:sz w:val="20"/>
          <w:szCs w:val="20"/>
        </w:rPr>
      </w:pPr>
      <w:r w:rsidRPr="007A072F">
        <w:rPr>
          <w:rFonts w:ascii="Arial" w:hAnsi="Arial" w:cs="Arial"/>
          <w:sz w:val="20"/>
          <w:szCs w:val="20"/>
        </w:rPr>
        <w:tab/>
        <w:t>4. dotacje i środki przeznaczone na cele bieżące;</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sz w:val="20"/>
          <w:szCs w:val="20"/>
        </w:rPr>
        <w:tab/>
        <w:t>5. pozostałe dochody (m. in.: podatki i opłaty lokalne, grzywny i kary pieniężne, wpływy z usług, odsetki od środków na rachunkach bankowych), w tym: z podatku od nieruchomości.</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sz w:val="20"/>
          <w:szCs w:val="20"/>
        </w:rPr>
        <w:t>Dochody majątkowe prognozowano w podziale na:</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60" w:line="240" w:lineRule="auto"/>
        <w:rPr>
          <w:rFonts w:ascii="Arial" w:hAnsi="Arial" w:cs="Arial"/>
          <w:sz w:val="20"/>
          <w:szCs w:val="20"/>
        </w:rPr>
      </w:pPr>
      <w:r w:rsidRPr="007A072F">
        <w:rPr>
          <w:rFonts w:ascii="Arial" w:hAnsi="Arial" w:cs="Arial"/>
          <w:sz w:val="20"/>
          <w:szCs w:val="20"/>
        </w:rPr>
        <w:tab/>
        <w:t>1. dochody ze sprzedaży majątku;</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sz w:val="20"/>
          <w:szCs w:val="20"/>
        </w:rPr>
        <w:tab/>
        <w:t>2. dotacje i środki przeznaczone na inwestycje;</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b/>
          <w:bCs/>
          <w:sz w:val="20"/>
          <w:szCs w:val="20"/>
        </w:rPr>
        <w:t>2.1 Dochody bieżące</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sz w:val="20"/>
          <w:szCs w:val="20"/>
        </w:rPr>
        <w:t>Uwzględniając dotychczasowe kształtowanie się dochodów budżetu Gminy Boniewo oraz przewidywania na następne lata, w poszczególnych kategoriach dochodów bieżących posłużono się metodą indeksacji wartości bazowych o odpowiednio przypisany dla każdej kategorii budżetowej wskaźnik, za pomocą następujących wag:</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Arial" w:hAnsi="Arial" w:cs="Arial"/>
          <w:sz w:val="20"/>
          <w:szCs w:val="20"/>
        </w:rPr>
      </w:pPr>
      <w:r w:rsidRPr="007A072F">
        <w:rPr>
          <w:rFonts w:ascii="Arial" w:hAnsi="Arial" w:cs="Arial"/>
          <w:b/>
          <w:bCs/>
          <w:sz w:val="20"/>
          <w:szCs w:val="20"/>
        </w:rPr>
        <w:t>Tabela 2. Wagi dla danych makroekonomicznych przyjęte do wyliczeń prognozy dochodów bieżących</w:t>
      </w:r>
    </w:p>
    <w:tbl>
      <w:tblPr>
        <w:tblW w:w="0" w:type="auto"/>
        <w:tblInd w:w="10" w:type="dxa"/>
        <w:tblLayout w:type="fixed"/>
        <w:tblCellMar>
          <w:left w:w="10" w:type="dxa"/>
          <w:right w:w="10" w:type="dxa"/>
        </w:tblCellMar>
        <w:tblLook w:val="0000"/>
      </w:tblPr>
      <w:tblGrid>
        <w:gridCol w:w="2865"/>
        <w:gridCol w:w="2865"/>
      </w:tblGrid>
      <w:tr w:rsidR="007A072F" w:rsidRPr="007A072F">
        <w:tc>
          <w:tcPr>
            <w:tcW w:w="2865"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center"/>
              <w:rPr>
                <w:rFonts w:ascii="Arial" w:hAnsi="Arial" w:cs="Arial"/>
                <w:sz w:val="20"/>
                <w:szCs w:val="20"/>
              </w:rPr>
            </w:pPr>
            <w:r w:rsidRPr="007A072F">
              <w:rPr>
                <w:rFonts w:ascii="Arial" w:hAnsi="Arial" w:cs="Arial"/>
                <w:sz w:val="20"/>
                <w:szCs w:val="20"/>
              </w:rPr>
              <w:t>Wyszczególnienie</w:t>
            </w:r>
          </w:p>
        </w:tc>
        <w:tc>
          <w:tcPr>
            <w:tcW w:w="2865"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center"/>
              <w:rPr>
                <w:rFonts w:ascii="Arial" w:hAnsi="Arial" w:cs="Arial"/>
                <w:sz w:val="20"/>
                <w:szCs w:val="20"/>
              </w:rPr>
            </w:pPr>
            <w:r w:rsidRPr="007A072F">
              <w:rPr>
                <w:rFonts w:ascii="Arial" w:hAnsi="Arial" w:cs="Arial"/>
                <w:sz w:val="20"/>
                <w:szCs w:val="20"/>
              </w:rPr>
              <w:t>PKB</w:t>
            </w:r>
          </w:p>
        </w:tc>
      </w:tr>
      <w:tr w:rsidR="007A072F" w:rsidRPr="007A072F">
        <w:tc>
          <w:tcPr>
            <w:tcW w:w="2865"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Arial" w:hAnsi="Arial" w:cs="Arial"/>
                <w:sz w:val="20"/>
                <w:szCs w:val="20"/>
              </w:rPr>
            </w:pPr>
            <w:r w:rsidRPr="007A072F">
              <w:rPr>
                <w:rFonts w:ascii="Arial" w:hAnsi="Arial" w:cs="Arial"/>
                <w:sz w:val="20"/>
                <w:szCs w:val="20"/>
              </w:rPr>
              <w:t>dochody z udziału w PIT</w:t>
            </w:r>
          </w:p>
        </w:tc>
        <w:tc>
          <w:tcPr>
            <w:tcW w:w="286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100,00%</w:t>
            </w:r>
          </w:p>
        </w:tc>
      </w:tr>
      <w:tr w:rsidR="007A072F" w:rsidRPr="007A072F">
        <w:tc>
          <w:tcPr>
            <w:tcW w:w="2865"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Arial" w:hAnsi="Arial" w:cs="Arial"/>
                <w:sz w:val="20"/>
                <w:szCs w:val="20"/>
              </w:rPr>
            </w:pPr>
            <w:r w:rsidRPr="007A072F">
              <w:rPr>
                <w:rFonts w:ascii="Arial" w:hAnsi="Arial" w:cs="Arial"/>
                <w:sz w:val="20"/>
                <w:szCs w:val="20"/>
              </w:rPr>
              <w:t>dochody z udziału w CIT</w:t>
            </w:r>
          </w:p>
        </w:tc>
        <w:tc>
          <w:tcPr>
            <w:tcW w:w="286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100,00%</w:t>
            </w:r>
          </w:p>
        </w:tc>
      </w:tr>
      <w:tr w:rsidR="007A072F" w:rsidRPr="007A072F">
        <w:tc>
          <w:tcPr>
            <w:tcW w:w="2865"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Arial" w:hAnsi="Arial" w:cs="Arial"/>
                <w:sz w:val="20"/>
                <w:szCs w:val="20"/>
              </w:rPr>
            </w:pPr>
            <w:r w:rsidRPr="007A072F">
              <w:rPr>
                <w:rFonts w:ascii="Arial" w:hAnsi="Arial" w:cs="Arial"/>
                <w:sz w:val="20"/>
                <w:szCs w:val="20"/>
              </w:rPr>
              <w:t>subwencja ogólna</w:t>
            </w:r>
          </w:p>
        </w:tc>
        <w:tc>
          <w:tcPr>
            <w:tcW w:w="286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100,00%</w:t>
            </w:r>
          </w:p>
        </w:tc>
      </w:tr>
      <w:tr w:rsidR="007A072F" w:rsidRPr="007A072F">
        <w:tc>
          <w:tcPr>
            <w:tcW w:w="2865"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Arial" w:hAnsi="Arial" w:cs="Arial"/>
                <w:sz w:val="20"/>
                <w:szCs w:val="20"/>
              </w:rPr>
            </w:pPr>
            <w:r w:rsidRPr="007A072F">
              <w:rPr>
                <w:rFonts w:ascii="Arial" w:hAnsi="Arial" w:cs="Arial"/>
                <w:sz w:val="20"/>
                <w:szCs w:val="20"/>
              </w:rPr>
              <w:t>dotacje bieżące</w:t>
            </w:r>
          </w:p>
        </w:tc>
        <w:tc>
          <w:tcPr>
            <w:tcW w:w="286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100,00%</w:t>
            </w:r>
          </w:p>
        </w:tc>
      </w:tr>
      <w:tr w:rsidR="007A072F" w:rsidRPr="007A072F">
        <w:tc>
          <w:tcPr>
            <w:tcW w:w="2865"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Arial" w:hAnsi="Arial" w:cs="Arial"/>
                <w:sz w:val="20"/>
                <w:szCs w:val="20"/>
              </w:rPr>
            </w:pPr>
            <w:r w:rsidRPr="007A072F">
              <w:rPr>
                <w:rFonts w:ascii="Arial" w:hAnsi="Arial" w:cs="Arial"/>
                <w:sz w:val="20"/>
                <w:szCs w:val="20"/>
              </w:rPr>
              <w:t>z podatku od nieruchomości</w:t>
            </w:r>
          </w:p>
        </w:tc>
        <w:tc>
          <w:tcPr>
            <w:tcW w:w="286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100,00%</w:t>
            </w:r>
          </w:p>
        </w:tc>
      </w:tr>
    </w:tbl>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sz w:val="20"/>
          <w:szCs w:val="20"/>
        </w:rPr>
        <w:t>Źródło: Opracowanie własne.</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60" w:line="240" w:lineRule="auto"/>
        <w:rPr>
          <w:rFonts w:ascii="Arial" w:hAnsi="Arial" w:cs="Arial"/>
          <w:sz w:val="20"/>
          <w:szCs w:val="20"/>
        </w:rPr>
      </w:pPr>
      <w:r w:rsidRPr="007A072F">
        <w:rPr>
          <w:rFonts w:ascii="Arial" w:hAnsi="Arial" w:cs="Arial"/>
          <w:b/>
          <w:bCs/>
          <w:sz w:val="20"/>
          <w:szCs w:val="20"/>
        </w:rPr>
        <w:t>Podatek od nieruchomości</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sz w:val="20"/>
          <w:szCs w:val="20"/>
        </w:rPr>
        <w:t>Stosownie do przepisów ustawy o podatkach i opłatach lokalnych wysokość stawek podatku od nieruchomości nie może przekroczyć górnych granic stawek kwotowych ogłoszonych przez Ministra Finansów, Inwestycji i Rozwoju. Wpływy z tytułu podatku od nieruchomości na 2020 rok zaplanowano w oparciu o założenia przyjęte na posiedzeniu Stałych Komisji Rady Gminy w dniu 4 listopada 2019 roku w sprawie określenia wysokości rocznych stawek podatku od nieruchomości na 2020 rok.</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sz w:val="20"/>
          <w:szCs w:val="20"/>
        </w:rPr>
        <w:t>W latach następnych zakłada się wzrostowy trend wpływów z tego podatku i zwiększanie dochodów będących konsekwencją planowanego wzrostu stawek podatkowych oraz corocznego przyrostu przedmiotów opodatkowania związanych z prowadzeniem działalności gospodarczej oraz budynków mieszkalnych.</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60" w:line="240" w:lineRule="auto"/>
        <w:rPr>
          <w:rFonts w:ascii="Arial" w:hAnsi="Arial" w:cs="Arial"/>
          <w:sz w:val="20"/>
          <w:szCs w:val="20"/>
        </w:rPr>
      </w:pPr>
      <w:r w:rsidRPr="007A072F">
        <w:rPr>
          <w:rFonts w:ascii="Arial" w:hAnsi="Arial" w:cs="Arial"/>
          <w:b/>
          <w:bCs/>
          <w:sz w:val="20"/>
          <w:szCs w:val="20"/>
        </w:rPr>
        <w:t>Udział w podatkach centralnych</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sz w:val="20"/>
          <w:szCs w:val="20"/>
        </w:rPr>
        <w:t xml:space="preserve">Jako że ta grupa dochodów pozostaje w bardzo silnym związku z sytuacją makroekonomiczną kraju, przy szacowaniu dochodów z tytułu udziałów w podatku dochodowym od osób fizycznych (PIT) oraz od osób prawnych (CIT) w latach 2020-2028 wzięto pod uwagę założony wskaźnik </w:t>
      </w:r>
      <w:r w:rsidRPr="007A072F">
        <w:rPr>
          <w:rFonts w:ascii="Arial" w:hAnsi="Arial" w:cs="Arial"/>
          <w:sz w:val="20"/>
          <w:szCs w:val="20"/>
        </w:rPr>
        <w:lastRenderedPageBreak/>
        <w:t>PKB.</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60" w:line="240" w:lineRule="auto"/>
        <w:rPr>
          <w:rFonts w:ascii="Arial" w:hAnsi="Arial" w:cs="Arial"/>
          <w:sz w:val="20"/>
          <w:szCs w:val="20"/>
        </w:rPr>
      </w:pPr>
      <w:r w:rsidRPr="007A072F">
        <w:rPr>
          <w:rFonts w:ascii="Arial" w:hAnsi="Arial" w:cs="Arial"/>
          <w:b/>
          <w:bCs/>
          <w:sz w:val="20"/>
          <w:szCs w:val="20"/>
        </w:rPr>
        <w:t>Subwencje i dotacje na zadania bieżące</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sz w:val="20"/>
          <w:szCs w:val="20"/>
        </w:rPr>
        <w:t>Planowaną kwotę subwencji ogólnej oraz dotacji celowych z budżetu państwa (innych niż środki na dofinansowanie realizacji projektów europejskich) na 2020 rok przyjęto w oparciu o informacje przekazane przez Ministra Finansów, Inwestycji i Rozwoju. W kolejnych latach prognozy założono wzrost kwoty otrzymywanych dotychczas cyklicznych subwencji i dotacji celowych z budżetu państwa w oparciu o prognozowany wskaźnik PKB.</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b/>
          <w:bCs/>
          <w:sz w:val="20"/>
          <w:szCs w:val="20"/>
        </w:rPr>
        <w:t>2.2 Dochody majątkowe</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sz w:val="20"/>
          <w:szCs w:val="20"/>
        </w:rPr>
        <w:t>Waloryzacji o wskaźniki makroekonomiczne nie poddano dochodów o charakterze majątkowym. Dochody majątkowe, w tym przede wszystkim dochody ze sprzedaży majątku pozbawione są regularności, a ich poziom uzależniony jest od czynników niezależnych, jak np. koniunktura na rynku nieruchomości.</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sz w:val="20"/>
          <w:szCs w:val="20"/>
        </w:rPr>
        <w:t>W 2020 roku dochody ze sprzedaży majątku zaplanowano na poziomie 100 000,00 zł. Bazując na informacjach o wykonaniu dochodów majątkowych w poprzednich latach, należy stwierdzić, że zaplanowana kwota jest realna, ryzyko ich niewykonania jest minimalne, a sama sprzedaż mienia została zaplanowana przy dochowaniu najwyższej staranności.</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sz w:val="20"/>
          <w:szCs w:val="20"/>
        </w:rPr>
        <w:t>Wartość zaplanowanych w 2020 roku dochodów ze sprzedaży ma zapewnić sprzedaż nieruchomości, których wykaz zaprezentowano w poniższej tabeli.</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Arial" w:hAnsi="Arial" w:cs="Arial"/>
          <w:sz w:val="20"/>
          <w:szCs w:val="20"/>
        </w:rPr>
      </w:pPr>
      <w:r w:rsidRPr="007A072F">
        <w:rPr>
          <w:rFonts w:ascii="Arial" w:hAnsi="Arial" w:cs="Arial"/>
          <w:b/>
          <w:bCs/>
          <w:sz w:val="20"/>
          <w:szCs w:val="20"/>
        </w:rPr>
        <w:t>Tabela 3. Wykaz nieruchomości planowanych do sprzedaży w 2020 roku</w:t>
      </w:r>
    </w:p>
    <w:tbl>
      <w:tblPr>
        <w:tblW w:w="0" w:type="auto"/>
        <w:tblInd w:w="10" w:type="dxa"/>
        <w:tblLayout w:type="fixed"/>
        <w:tblCellMar>
          <w:left w:w="10" w:type="dxa"/>
          <w:right w:w="10" w:type="dxa"/>
        </w:tblCellMar>
        <w:tblLook w:val="0000"/>
      </w:tblPr>
      <w:tblGrid>
        <w:gridCol w:w="1725"/>
        <w:gridCol w:w="1725"/>
        <w:gridCol w:w="1725"/>
        <w:gridCol w:w="1725"/>
        <w:gridCol w:w="1725"/>
      </w:tblGrid>
      <w:tr w:rsidR="007A072F" w:rsidRPr="007A072F">
        <w:tc>
          <w:tcPr>
            <w:tcW w:w="1725"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center"/>
              <w:rPr>
                <w:rFonts w:ascii="Arial" w:hAnsi="Arial" w:cs="Arial"/>
                <w:sz w:val="20"/>
                <w:szCs w:val="20"/>
              </w:rPr>
            </w:pPr>
            <w:r w:rsidRPr="007A072F">
              <w:rPr>
                <w:rFonts w:ascii="Arial" w:hAnsi="Arial" w:cs="Arial"/>
                <w:sz w:val="20"/>
                <w:szCs w:val="20"/>
              </w:rPr>
              <w:t>Położenie nieruchomości</w:t>
            </w:r>
          </w:p>
        </w:tc>
        <w:tc>
          <w:tcPr>
            <w:tcW w:w="1725"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center"/>
              <w:rPr>
                <w:rFonts w:ascii="Arial" w:hAnsi="Arial" w:cs="Arial"/>
                <w:sz w:val="20"/>
                <w:szCs w:val="20"/>
              </w:rPr>
            </w:pPr>
            <w:r w:rsidRPr="007A072F">
              <w:rPr>
                <w:rFonts w:ascii="Arial" w:hAnsi="Arial" w:cs="Arial"/>
                <w:sz w:val="20"/>
                <w:szCs w:val="20"/>
              </w:rPr>
              <w:t>Nr działki i obręb</w:t>
            </w:r>
          </w:p>
        </w:tc>
        <w:tc>
          <w:tcPr>
            <w:tcW w:w="1725"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center"/>
              <w:rPr>
                <w:rFonts w:ascii="Arial" w:hAnsi="Arial" w:cs="Arial"/>
                <w:sz w:val="20"/>
                <w:szCs w:val="20"/>
              </w:rPr>
            </w:pPr>
            <w:r w:rsidRPr="007A072F">
              <w:rPr>
                <w:rFonts w:ascii="Arial" w:hAnsi="Arial" w:cs="Arial"/>
                <w:sz w:val="20"/>
                <w:szCs w:val="20"/>
              </w:rPr>
              <w:t>Powierzchnia [ha]</w:t>
            </w:r>
          </w:p>
        </w:tc>
        <w:tc>
          <w:tcPr>
            <w:tcW w:w="1725"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center"/>
              <w:rPr>
                <w:rFonts w:ascii="Arial" w:hAnsi="Arial" w:cs="Arial"/>
                <w:sz w:val="20"/>
                <w:szCs w:val="20"/>
              </w:rPr>
            </w:pPr>
            <w:r w:rsidRPr="007A072F">
              <w:rPr>
                <w:rFonts w:ascii="Arial" w:hAnsi="Arial" w:cs="Arial"/>
                <w:sz w:val="20"/>
                <w:szCs w:val="20"/>
              </w:rPr>
              <w:t>Wartość netto</w:t>
            </w:r>
          </w:p>
        </w:tc>
        <w:tc>
          <w:tcPr>
            <w:tcW w:w="1725"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center"/>
              <w:rPr>
                <w:rFonts w:ascii="Arial" w:hAnsi="Arial" w:cs="Arial"/>
                <w:sz w:val="20"/>
                <w:szCs w:val="20"/>
              </w:rPr>
            </w:pPr>
            <w:r w:rsidRPr="007A072F">
              <w:rPr>
                <w:rFonts w:ascii="Arial" w:hAnsi="Arial" w:cs="Arial"/>
                <w:sz w:val="20"/>
                <w:szCs w:val="20"/>
              </w:rPr>
              <w:t>Planowany dochód</w:t>
            </w:r>
          </w:p>
        </w:tc>
      </w:tr>
      <w:tr w:rsidR="007A072F" w:rsidRPr="007A072F">
        <w:tc>
          <w:tcPr>
            <w:tcW w:w="1725"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Arial" w:hAnsi="Arial" w:cs="Arial"/>
                <w:sz w:val="20"/>
                <w:szCs w:val="20"/>
              </w:rPr>
            </w:pPr>
            <w:r w:rsidRPr="007A072F">
              <w:rPr>
                <w:rFonts w:ascii="Arial" w:hAnsi="Arial" w:cs="Arial"/>
                <w:sz w:val="20"/>
                <w:szCs w:val="20"/>
              </w:rPr>
              <w:t>Osiecz Wielki</w:t>
            </w:r>
          </w:p>
        </w:tc>
        <w:tc>
          <w:tcPr>
            <w:tcW w:w="1725"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Arial" w:hAnsi="Arial" w:cs="Arial"/>
                <w:sz w:val="20"/>
                <w:szCs w:val="20"/>
              </w:rPr>
            </w:pPr>
            <w:r w:rsidRPr="007A072F">
              <w:rPr>
                <w:rFonts w:ascii="Arial" w:hAnsi="Arial" w:cs="Arial"/>
                <w:sz w:val="20"/>
                <w:szCs w:val="20"/>
              </w:rPr>
              <w:t>103/3</w:t>
            </w:r>
          </w:p>
        </w:tc>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0,56 ha</w:t>
            </w:r>
          </w:p>
        </w:tc>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43.000 zł</w:t>
            </w:r>
          </w:p>
        </w:tc>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43.000 zł</w:t>
            </w:r>
          </w:p>
        </w:tc>
      </w:tr>
      <w:tr w:rsidR="007A072F" w:rsidRPr="007A072F">
        <w:tc>
          <w:tcPr>
            <w:tcW w:w="1725"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Arial" w:hAnsi="Arial" w:cs="Arial"/>
                <w:sz w:val="20"/>
                <w:szCs w:val="20"/>
              </w:rPr>
            </w:pPr>
            <w:r w:rsidRPr="007A072F">
              <w:rPr>
                <w:rFonts w:ascii="Arial" w:hAnsi="Arial" w:cs="Arial"/>
                <w:sz w:val="20"/>
                <w:szCs w:val="20"/>
              </w:rPr>
              <w:t>Osiecz Mały</w:t>
            </w:r>
          </w:p>
        </w:tc>
        <w:tc>
          <w:tcPr>
            <w:tcW w:w="1725"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Arial" w:hAnsi="Arial" w:cs="Arial"/>
                <w:sz w:val="20"/>
                <w:szCs w:val="20"/>
              </w:rPr>
            </w:pPr>
            <w:r w:rsidRPr="007A072F">
              <w:rPr>
                <w:rFonts w:ascii="Arial" w:hAnsi="Arial" w:cs="Arial"/>
                <w:sz w:val="20"/>
                <w:szCs w:val="20"/>
              </w:rPr>
              <w:t>136/1 lokal 94 m2</w:t>
            </w:r>
          </w:p>
        </w:tc>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p>
        </w:tc>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26.000 zł</w:t>
            </w:r>
          </w:p>
        </w:tc>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26.000 zł</w:t>
            </w:r>
          </w:p>
        </w:tc>
      </w:tr>
      <w:tr w:rsidR="007A072F" w:rsidRPr="007A072F">
        <w:tc>
          <w:tcPr>
            <w:tcW w:w="1725"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Arial" w:hAnsi="Arial" w:cs="Arial"/>
                <w:sz w:val="20"/>
                <w:szCs w:val="20"/>
              </w:rPr>
            </w:pPr>
            <w:r w:rsidRPr="007A072F">
              <w:rPr>
                <w:rFonts w:ascii="Arial" w:hAnsi="Arial" w:cs="Arial"/>
                <w:sz w:val="20"/>
                <w:szCs w:val="20"/>
              </w:rPr>
              <w:t xml:space="preserve">Osiecz Mały </w:t>
            </w:r>
          </w:p>
        </w:tc>
        <w:tc>
          <w:tcPr>
            <w:tcW w:w="1725"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Arial" w:hAnsi="Arial" w:cs="Arial"/>
                <w:sz w:val="20"/>
                <w:szCs w:val="20"/>
              </w:rPr>
            </w:pPr>
            <w:r w:rsidRPr="007A072F">
              <w:rPr>
                <w:rFonts w:ascii="Arial" w:hAnsi="Arial" w:cs="Arial"/>
                <w:sz w:val="20"/>
                <w:szCs w:val="20"/>
              </w:rPr>
              <w:t>136/12 lokal</w:t>
            </w:r>
          </w:p>
        </w:tc>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0,0570 ha</w:t>
            </w:r>
          </w:p>
        </w:tc>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21.000 zł</w:t>
            </w:r>
          </w:p>
        </w:tc>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21.000 zł</w:t>
            </w:r>
          </w:p>
        </w:tc>
      </w:tr>
      <w:tr w:rsidR="007A072F" w:rsidRPr="007A072F">
        <w:tc>
          <w:tcPr>
            <w:tcW w:w="1725"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Arial" w:hAnsi="Arial" w:cs="Arial"/>
                <w:sz w:val="20"/>
                <w:szCs w:val="20"/>
              </w:rPr>
            </w:pPr>
            <w:r w:rsidRPr="007A072F">
              <w:rPr>
                <w:rFonts w:ascii="Arial" w:hAnsi="Arial" w:cs="Arial"/>
                <w:sz w:val="20"/>
                <w:szCs w:val="20"/>
              </w:rPr>
              <w:t>Osiecz Wielki</w:t>
            </w:r>
          </w:p>
        </w:tc>
        <w:tc>
          <w:tcPr>
            <w:tcW w:w="1725"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Arial" w:hAnsi="Arial" w:cs="Arial"/>
                <w:sz w:val="20"/>
                <w:szCs w:val="20"/>
              </w:rPr>
            </w:pPr>
            <w:r w:rsidRPr="007A072F">
              <w:rPr>
                <w:rFonts w:ascii="Arial" w:hAnsi="Arial" w:cs="Arial"/>
                <w:sz w:val="20"/>
                <w:szCs w:val="20"/>
              </w:rPr>
              <w:t>108</w:t>
            </w:r>
          </w:p>
        </w:tc>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0,34 ha</w:t>
            </w:r>
          </w:p>
        </w:tc>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10.000 zł</w:t>
            </w:r>
          </w:p>
        </w:tc>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10.000 zł</w:t>
            </w:r>
          </w:p>
        </w:tc>
      </w:tr>
      <w:tr w:rsidR="007A072F" w:rsidRPr="007A072F">
        <w:tc>
          <w:tcPr>
            <w:tcW w:w="1725"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Arial" w:hAnsi="Arial" w:cs="Arial"/>
                <w:sz w:val="20"/>
                <w:szCs w:val="20"/>
              </w:rPr>
            </w:pPr>
          </w:p>
        </w:tc>
        <w:tc>
          <w:tcPr>
            <w:tcW w:w="1725"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Arial" w:hAnsi="Arial" w:cs="Arial"/>
                <w:sz w:val="20"/>
                <w:szCs w:val="20"/>
              </w:rPr>
            </w:pPr>
          </w:p>
        </w:tc>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p>
        </w:tc>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p>
        </w:tc>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p>
        </w:tc>
      </w:tr>
      <w:tr w:rsidR="007A072F" w:rsidRPr="007A072F">
        <w:tc>
          <w:tcPr>
            <w:tcW w:w="6900" w:type="dxa"/>
            <w:gridSpan w:val="4"/>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b/>
                <w:bCs/>
                <w:sz w:val="20"/>
                <w:szCs w:val="20"/>
              </w:rPr>
              <w:t>Suma:</w:t>
            </w:r>
          </w:p>
        </w:tc>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100.000 zł</w:t>
            </w:r>
          </w:p>
        </w:tc>
      </w:tr>
    </w:tbl>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sz w:val="20"/>
          <w:szCs w:val="20"/>
        </w:rPr>
        <w:t>Źródło: Opracowanie własne.</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b/>
          <w:bCs/>
          <w:sz w:val="20"/>
          <w:szCs w:val="20"/>
        </w:rPr>
        <w:t>3. Wydatki</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sz w:val="20"/>
          <w:szCs w:val="20"/>
        </w:rPr>
        <w:t>Prognozy wydatków Gminy Boniewo dokonano w podziale na kategorie wydatków bieżących i wydatków majątkowych.</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b/>
          <w:bCs/>
          <w:sz w:val="20"/>
          <w:szCs w:val="20"/>
        </w:rPr>
        <w:t>3.1 Wydatki bieżące</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sz w:val="20"/>
          <w:szCs w:val="20"/>
        </w:rPr>
        <w:t>Wydatki bieżące prognozowano w podziale na:</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60" w:line="240" w:lineRule="auto"/>
        <w:rPr>
          <w:rFonts w:ascii="Arial" w:hAnsi="Arial" w:cs="Arial"/>
          <w:sz w:val="20"/>
          <w:szCs w:val="20"/>
        </w:rPr>
      </w:pPr>
      <w:r w:rsidRPr="007A072F">
        <w:rPr>
          <w:rFonts w:ascii="Arial" w:hAnsi="Arial" w:cs="Arial"/>
          <w:sz w:val="20"/>
          <w:szCs w:val="20"/>
        </w:rPr>
        <w:tab/>
        <w:t>1) wynagrodzenia i składki od nich naliczane;</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60" w:line="240" w:lineRule="auto"/>
        <w:rPr>
          <w:rFonts w:ascii="Arial" w:hAnsi="Arial" w:cs="Arial"/>
          <w:sz w:val="20"/>
          <w:szCs w:val="20"/>
        </w:rPr>
      </w:pPr>
      <w:r w:rsidRPr="007A072F">
        <w:rPr>
          <w:rFonts w:ascii="Arial" w:hAnsi="Arial" w:cs="Arial"/>
          <w:sz w:val="20"/>
          <w:szCs w:val="20"/>
        </w:rPr>
        <w:tab/>
        <w:t>2) wydatki na poręczenia i gwarancje;</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60" w:line="240" w:lineRule="auto"/>
        <w:rPr>
          <w:rFonts w:ascii="Arial" w:hAnsi="Arial" w:cs="Arial"/>
          <w:sz w:val="20"/>
          <w:szCs w:val="20"/>
        </w:rPr>
      </w:pPr>
      <w:r w:rsidRPr="007A072F">
        <w:rPr>
          <w:rFonts w:ascii="Arial" w:hAnsi="Arial" w:cs="Arial"/>
          <w:sz w:val="20"/>
          <w:szCs w:val="20"/>
        </w:rPr>
        <w:tab/>
        <w:t>3) wydatki związane z obsługą zadłużenia, w tym odsetki i dyskonto;</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sz w:val="20"/>
          <w:szCs w:val="20"/>
        </w:rPr>
        <w:tab/>
        <w:t>4) pozostałe wydatki bieżące.</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sz w:val="20"/>
          <w:szCs w:val="20"/>
        </w:rPr>
        <w:t xml:space="preserve">Zgodnie z założeniami przyjętymi przy prognozie dochodów, dla wydatków bieżących w roku 2020 przyjęto projekt budżetu. W latach 2021-2028 dokonano indeksacji o wagi wskaźników inflacji i PKB. O ile w przypadku wydatków na wynagrodzenia, pochodnych od wynagrodzeń i pozostałych wydatków bieżących możliwość zastosowania indeksacji jest uzasadniona, o tyle wydatki związane z obsługą długu są ściśle uzależnione od postanowień zawartych w umowach </w:t>
      </w:r>
      <w:r w:rsidRPr="007A072F">
        <w:rPr>
          <w:rFonts w:ascii="Arial" w:hAnsi="Arial" w:cs="Arial"/>
          <w:sz w:val="20"/>
          <w:szCs w:val="20"/>
        </w:rPr>
        <w:lastRenderedPageBreak/>
        <w:t>kredytowych, pożyczkowych i emisji obligacji.</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Arial" w:hAnsi="Arial" w:cs="Arial"/>
          <w:b/>
          <w:bCs/>
          <w:sz w:val="20"/>
          <w:szCs w:val="20"/>
        </w:rPr>
      </w:pP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Arial" w:hAnsi="Arial" w:cs="Arial"/>
          <w:sz w:val="20"/>
          <w:szCs w:val="20"/>
        </w:rPr>
      </w:pPr>
      <w:r w:rsidRPr="007A072F">
        <w:rPr>
          <w:rFonts w:ascii="Arial" w:hAnsi="Arial" w:cs="Arial"/>
          <w:b/>
          <w:bCs/>
          <w:sz w:val="20"/>
          <w:szCs w:val="20"/>
        </w:rPr>
        <w:t>Tabela 4. Wagi dla danych makroekonomicznych przyjęte do wyliczeń prognozy wydatków bieżących</w:t>
      </w:r>
    </w:p>
    <w:tbl>
      <w:tblPr>
        <w:tblW w:w="0" w:type="auto"/>
        <w:tblInd w:w="10" w:type="dxa"/>
        <w:tblLayout w:type="fixed"/>
        <w:tblCellMar>
          <w:left w:w="10" w:type="dxa"/>
          <w:right w:w="10" w:type="dxa"/>
        </w:tblCellMar>
        <w:tblLook w:val="0000"/>
      </w:tblPr>
      <w:tblGrid>
        <w:gridCol w:w="2145"/>
        <w:gridCol w:w="2145"/>
      </w:tblGrid>
      <w:tr w:rsidR="007A072F" w:rsidRPr="007A072F">
        <w:tc>
          <w:tcPr>
            <w:tcW w:w="2145"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center"/>
              <w:rPr>
                <w:rFonts w:ascii="Arial" w:hAnsi="Arial" w:cs="Arial"/>
                <w:sz w:val="20"/>
                <w:szCs w:val="20"/>
              </w:rPr>
            </w:pPr>
            <w:r w:rsidRPr="007A072F">
              <w:rPr>
                <w:rFonts w:ascii="Arial" w:hAnsi="Arial" w:cs="Arial"/>
                <w:sz w:val="20"/>
                <w:szCs w:val="20"/>
              </w:rPr>
              <w:t>Wyszczególnienie</w:t>
            </w:r>
          </w:p>
        </w:tc>
        <w:tc>
          <w:tcPr>
            <w:tcW w:w="2145"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center"/>
              <w:rPr>
                <w:rFonts w:ascii="Arial" w:hAnsi="Arial" w:cs="Arial"/>
                <w:sz w:val="20"/>
                <w:szCs w:val="20"/>
              </w:rPr>
            </w:pPr>
            <w:r w:rsidRPr="007A072F">
              <w:rPr>
                <w:rFonts w:ascii="Arial" w:hAnsi="Arial" w:cs="Arial"/>
                <w:sz w:val="20"/>
                <w:szCs w:val="20"/>
              </w:rPr>
              <w:t>INF</w:t>
            </w:r>
          </w:p>
        </w:tc>
      </w:tr>
      <w:tr w:rsidR="007A072F" w:rsidRPr="007A072F">
        <w:tc>
          <w:tcPr>
            <w:tcW w:w="2145"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Arial" w:hAnsi="Arial" w:cs="Arial"/>
                <w:sz w:val="20"/>
                <w:szCs w:val="20"/>
              </w:rPr>
            </w:pPr>
            <w:r w:rsidRPr="007A072F">
              <w:rPr>
                <w:rFonts w:ascii="Arial" w:hAnsi="Arial" w:cs="Arial"/>
                <w:sz w:val="20"/>
                <w:szCs w:val="20"/>
              </w:rPr>
              <w:t>wynagrodzenia i pochodne</w:t>
            </w:r>
          </w:p>
        </w:tc>
        <w:tc>
          <w:tcPr>
            <w:tcW w:w="214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100,00%</w:t>
            </w:r>
          </w:p>
        </w:tc>
      </w:tr>
      <w:tr w:rsidR="007A072F" w:rsidRPr="007A072F">
        <w:tc>
          <w:tcPr>
            <w:tcW w:w="2145"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Arial" w:hAnsi="Arial" w:cs="Arial"/>
                <w:sz w:val="20"/>
                <w:szCs w:val="20"/>
              </w:rPr>
            </w:pPr>
            <w:r w:rsidRPr="007A072F">
              <w:rPr>
                <w:rFonts w:ascii="Arial" w:hAnsi="Arial" w:cs="Arial"/>
                <w:sz w:val="20"/>
                <w:szCs w:val="20"/>
              </w:rPr>
              <w:t>inne</w:t>
            </w:r>
          </w:p>
        </w:tc>
        <w:tc>
          <w:tcPr>
            <w:tcW w:w="214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100,00%</w:t>
            </w:r>
          </w:p>
        </w:tc>
      </w:tr>
    </w:tbl>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sz w:val="20"/>
          <w:szCs w:val="20"/>
        </w:rPr>
        <w:t>Źródło: Opracowanie własne.</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b/>
          <w:bCs/>
          <w:sz w:val="20"/>
          <w:szCs w:val="20"/>
        </w:rPr>
        <w:t>3.2 Wydatki majątkowe</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sz w:val="20"/>
          <w:szCs w:val="20"/>
        </w:rPr>
        <w:t>Wydatki majątkowe obejmują przede wszystkim przedsięwzięcia inwestycyjne, które ujęto w załączniku nr 2 do Wieloletniej Prognozy Finansowej Gminy Boniewo na lata 2020-2024. W kolejnych latach wydatki majątkowe zostały zaplanowane tak, aby pokryły pozostałą po spłacie zobowiązań część tzw. wolnych środków.</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sz w:val="20"/>
          <w:szCs w:val="20"/>
        </w:rPr>
        <w:t>Oprócz przedsięwzięć przewidzianych w WPF zaplanowano niezbędne wydatki, takie jak: dotacje celowe dla JST wynikające z ustawy o ochronie gruntów rolnych i leśnych, wydatki na pozyskanie gruntów pod inwestycje drogowe itp.</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b/>
          <w:bCs/>
          <w:sz w:val="20"/>
          <w:szCs w:val="20"/>
        </w:rPr>
        <w:t>4. Wynik budżetu</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sz w:val="20"/>
          <w:szCs w:val="20"/>
        </w:rPr>
        <w:t>Wynik budżetu w prognozowanym okresie jest ściśle powiązany z przyjętymi założeniami do prognozy dochodów i wydatków. Fakt prognozowania w oparciu o dane makroekonomiczne o niewielkiej zmienności powoduje zrównoważony i stabilny wzrost dochodów oraz wydatków bieżących, któremu można przypisać cechy statystyczne. W całym prognozowanym okresie utrzymana została relacja z art. 242 (brak deficytu bieżącego). Ponadto wynik finansowy budżetu został sprowadzony do 0 w całym badanym okresie.</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Arial" w:hAnsi="Arial" w:cs="Arial"/>
          <w:sz w:val="20"/>
          <w:szCs w:val="20"/>
        </w:rPr>
      </w:pPr>
      <w:r w:rsidRPr="007A072F">
        <w:rPr>
          <w:rFonts w:ascii="Arial" w:hAnsi="Arial" w:cs="Arial"/>
          <w:b/>
          <w:bCs/>
          <w:sz w:val="20"/>
          <w:szCs w:val="20"/>
        </w:rPr>
        <w:t>Tabela 5. Wynik budżetu Gminy Boniewo</w:t>
      </w:r>
    </w:p>
    <w:tbl>
      <w:tblPr>
        <w:tblW w:w="0" w:type="auto"/>
        <w:tblInd w:w="10" w:type="dxa"/>
        <w:tblLayout w:type="fixed"/>
        <w:tblCellMar>
          <w:left w:w="10" w:type="dxa"/>
          <w:right w:w="10" w:type="dxa"/>
        </w:tblCellMar>
        <w:tblLook w:val="0000"/>
      </w:tblPr>
      <w:tblGrid>
        <w:gridCol w:w="1725"/>
        <w:gridCol w:w="1725"/>
        <w:gridCol w:w="1725"/>
        <w:gridCol w:w="1725"/>
        <w:gridCol w:w="1725"/>
      </w:tblGrid>
      <w:tr w:rsidR="007A072F" w:rsidRPr="007A072F">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p>
        </w:tc>
        <w:tc>
          <w:tcPr>
            <w:tcW w:w="1725"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center"/>
              <w:rPr>
                <w:rFonts w:ascii="Arial" w:hAnsi="Arial" w:cs="Arial"/>
                <w:sz w:val="20"/>
                <w:szCs w:val="20"/>
              </w:rPr>
            </w:pPr>
            <w:r w:rsidRPr="007A072F">
              <w:rPr>
                <w:rFonts w:ascii="Arial" w:hAnsi="Arial" w:cs="Arial"/>
                <w:b/>
                <w:bCs/>
                <w:sz w:val="20"/>
                <w:szCs w:val="20"/>
              </w:rPr>
              <w:t>2020</w:t>
            </w:r>
          </w:p>
        </w:tc>
        <w:tc>
          <w:tcPr>
            <w:tcW w:w="1725"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center"/>
              <w:rPr>
                <w:rFonts w:ascii="Arial" w:hAnsi="Arial" w:cs="Arial"/>
                <w:sz w:val="20"/>
                <w:szCs w:val="20"/>
              </w:rPr>
            </w:pPr>
            <w:r w:rsidRPr="007A072F">
              <w:rPr>
                <w:rFonts w:ascii="Arial" w:hAnsi="Arial" w:cs="Arial"/>
                <w:b/>
                <w:bCs/>
                <w:sz w:val="20"/>
                <w:szCs w:val="20"/>
              </w:rPr>
              <w:t>2021</w:t>
            </w:r>
          </w:p>
        </w:tc>
        <w:tc>
          <w:tcPr>
            <w:tcW w:w="1725"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center"/>
              <w:rPr>
                <w:rFonts w:ascii="Arial" w:hAnsi="Arial" w:cs="Arial"/>
                <w:sz w:val="20"/>
                <w:szCs w:val="20"/>
              </w:rPr>
            </w:pPr>
            <w:r w:rsidRPr="007A072F">
              <w:rPr>
                <w:rFonts w:ascii="Arial" w:hAnsi="Arial" w:cs="Arial"/>
                <w:b/>
                <w:bCs/>
                <w:sz w:val="20"/>
                <w:szCs w:val="20"/>
              </w:rPr>
              <w:t>2022</w:t>
            </w:r>
          </w:p>
        </w:tc>
        <w:tc>
          <w:tcPr>
            <w:tcW w:w="1725"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center"/>
              <w:rPr>
                <w:rFonts w:ascii="Arial" w:hAnsi="Arial" w:cs="Arial"/>
                <w:sz w:val="20"/>
                <w:szCs w:val="20"/>
              </w:rPr>
            </w:pPr>
            <w:r w:rsidRPr="007A072F">
              <w:rPr>
                <w:rFonts w:ascii="Arial" w:hAnsi="Arial" w:cs="Arial"/>
                <w:b/>
                <w:bCs/>
                <w:sz w:val="20"/>
                <w:szCs w:val="20"/>
              </w:rPr>
              <w:t>2023</w:t>
            </w:r>
          </w:p>
        </w:tc>
      </w:tr>
      <w:tr w:rsidR="007A072F" w:rsidRPr="007A072F">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Arial" w:hAnsi="Arial" w:cs="Arial"/>
                <w:sz w:val="20"/>
                <w:szCs w:val="20"/>
              </w:rPr>
            </w:pPr>
            <w:r w:rsidRPr="007A072F">
              <w:rPr>
                <w:rFonts w:ascii="Arial" w:hAnsi="Arial" w:cs="Arial"/>
                <w:b/>
                <w:bCs/>
                <w:sz w:val="20"/>
                <w:szCs w:val="20"/>
              </w:rPr>
              <w:t>Dochody</w:t>
            </w:r>
          </w:p>
        </w:tc>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18 981 111,00</w:t>
            </w:r>
          </w:p>
        </w:tc>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17 986 561,00</w:t>
            </w:r>
          </w:p>
        </w:tc>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17 544 951,00</w:t>
            </w:r>
          </w:p>
        </w:tc>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18 088 845,00</w:t>
            </w:r>
          </w:p>
        </w:tc>
      </w:tr>
      <w:tr w:rsidR="007A072F" w:rsidRPr="007A072F">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Arial" w:hAnsi="Arial" w:cs="Arial"/>
                <w:sz w:val="20"/>
                <w:szCs w:val="20"/>
              </w:rPr>
            </w:pPr>
            <w:r w:rsidRPr="007A072F">
              <w:rPr>
                <w:rFonts w:ascii="Arial" w:hAnsi="Arial" w:cs="Arial"/>
                <w:b/>
                <w:bCs/>
                <w:sz w:val="20"/>
                <w:szCs w:val="20"/>
              </w:rPr>
              <w:t>Wydatki</w:t>
            </w:r>
          </w:p>
        </w:tc>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18 209 115,00</w:t>
            </w:r>
          </w:p>
        </w:tc>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17 157 787,62</w:t>
            </w:r>
          </w:p>
        </w:tc>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16 753 275,00</w:t>
            </w:r>
          </w:p>
        </w:tc>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17 329 249,22</w:t>
            </w:r>
          </w:p>
        </w:tc>
      </w:tr>
      <w:tr w:rsidR="007A072F" w:rsidRPr="007A072F">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Arial" w:hAnsi="Arial" w:cs="Arial"/>
                <w:sz w:val="20"/>
                <w:szCs w:val="20"/>
              </w:rPr>
            </w:pPr>
            <w:r w:rsidRPr="007A072F">
              <w:rPr>
                <w:rFonts w:ascii="Arial" w:hAnsi="Arial" w:cs="Arial"/>
                <w:b/>
                <w:bCs/>
                <w:sz w:val="20"/>
                <w:szCs w:val="20"/>
              </w:rPr>
              <w:t>Wynik budżetu</w:t>
            </w:r>
          </w:p>
        </w:tc>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771 996,00</w:t>
            </w:r>
          </w:p>
        </w:tc>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828 773,38</w:t>
            </w:r>
          </w:p>
        </w:tc>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791 676,00</w:t>
            </w:r>
          </w:p>
        </w:tc>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759 595,78</w:t>
            </w:r>
          </w:p>
        </w:tc>
      </w:tr>
      <w:tr w:rsidR="007A072F" w:rsidRPr="007A072F">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p>
        </w:tc>
        <w:tc>
          <w:tcPr>
            <w:tcW w:w="1725"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center"/>
              <w:rPr>
                <w:rFonts w:ascii="Arial" w:hAnsi="Arial" w:cs="Arial"/>
                <w:sz w:val="20"/>
                <w:szCs w:val="20"/>
              </w:rPr>
            </w:pPr>
            <w:r w:rsidRPr="007A072F">
              <w:rPr>
                <w:rFonts w:ascii="Arial" w:hAnsi="Arial" w:cs="Arial"/>
                <w:b/>
                <w:bCs/>
                <w:sz w:val="20"/>
                <w:szCs w:val="20"/>
              </w:rPr>
              <w:t>2024</w:t>
            </w:r>
          </w:p>
        </w:tc>
        <w:tc>
          <w:tcPr>
            <w:tcW w:w="1725"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center"/>
              <w:rPr>
                <w:rFonts w:ascii="Arial" w:hAnsi="Arial" w:cs="Arial"/>
                <w:sz w:val="20"/>
                <w:szCs w:val="20"/>
              </w:rPr>
            </w:pPr>
            <w:r w:rsidRPr="007A072F">
              <w:rPr>
                <w:rFonts w:ascii="Arial" w:hAnsi="Arial" w:cs="Arial"/>
                <w:b/>
                <w:bCs/>
                <w:sz w:val="20"/>
                <w:szCs w:val="20"/>
              </w:rPr>
              <w:t>2025</w:t>
            </w:r>
          </w:p>
        </w:tc>
        <w:tc>
          <w:tcPr>
            <w:tcW w:w="1725"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center"/>
              <w:rPr>
                <w:rFonts w:ascii="Arial" w:hAnsi="Arial" w:cs="Arial"/>
                <w:sz w:val="20"/>
                <w:szCs w:val="20"/>
              </w:rPr>
            </w:pPr>
            <w:r w:rsidRPr="007A072F">
              <w:rPr>
                <w:rFonts w:ascii="Arial" w:hAnsi="Arial" w:cs="Arial"/>
                <w:b/>
                <w:bCs/>
                <w:sz w:val="20"/>
                <w:szCs w:val="20"/>
              </w:rPr>
              <w:t>2026</w:t>
            </w:r>
          </w:p>
        </w:tc>
        <w:tc>
          <w:tcPr>
            <w:tcW w:w="1725"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center"/>
              <w:rPr>
                <w:rFonts w:ascii="Arial" w:hAnsi="Arial" w:cs="Arial"/>
                <w:sz w:val="20"/>
                <w:szCs w:val="20"/>
              </w:rPr>
            </w:pPr>
            <w:r w:rsidRPr="007A072F">
              <w:rPr>
                <w:rFonts w:ascii="Arial" w:hAnsi="Arial" w:cs="Arial"/>
                <w:b/>
                <w:bCs/>
                <w:sz w:val="20"/>
                <w:szCs w:val="20"/>
              </w:rPr>
              <w:t>2027</w:t>
            </w:r>
          </w:p>
        </w:tc>
      </w:tr>
      <w:tr w:rsidR="007A072F" w:rsidRPr="007A072F">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Arial" w:hAnsi="Arial" w:cs="Arial"/>
                <w:sz w:val="20"/>
                <w:szCs w:val="20"/>
              </w:rPr>
            </w:pPr>
            <w:r w:rsidRPr="007A072F">
              <w:rPr>
                <w:rFonts w:ascii="Arial" w:hAnsi="Arial" w:cs="Arial"/>
                <w:b/>
                <w:bCs/>
                <w:sz w:val="20"/>
                <w:szCs w:val="20"/>
              </w:rPr>
              <w:t>Dochody</w:t>
            </w:r>
          </w:p>
        </w:tc>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18 631 510,00</w:t>
            </w:r>
          </w:p>
        </w:tc>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19 190 457,00</w:t>
            </w:r>
          </w:p>
        </w:tc>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19 766 170,00</w:t>
            </w:r>
          </w:p>
        </w:tc>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20 339 389,00</w:t>
            </w:r>
          </w:p>
        </w:tc>
      </w:tr>
      <w:tr w:rsidR="007A072F" w:rsidRPr="007A072F">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Arial" w:hAnsi="Arial" w:cs="Arial"/>
                <w:sz w:val="20"/>
                <w:szCs w:val="20"/>
              </w:rPr>
            </w:pPr>
            <w:r w:rsidRPr="007A072F">
              <w:rPr>
                <w:rFonts w:ascii="Arial" w:hAnsi="Arial" w:cs="Arial"/>
                <w:b/>
                <w:bCs/>
                <w:sz w:val="20"/>
                <w:szCs w:val="20"/>
              </w:rPr>
              <w:t>Wydatki</w:t>
            </w:r>
          </w:p>
        </w:tc>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17 879 310,00</w:t>
            </w:r>
          </w:p>
        </w:tc>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18 467 439,00</w:t>
            </w:r>
          </w:p>
        </w:tc>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19 381 170,00</w:t>
            </w:r>
          </w:p>
        </w:tc>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19 954 389,00</w:t>
            </w:r>
          </w:p>
        </w:tc>
      </w:tr>
      <w:tr w:rsidR="007A072F" w:rsidRPr="007A072F">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Arial" w:hAnsi="Arial" w:cs="Arial"/>
                <w:sz w:val="20"/>
                <w:szCs w:val="20"/>
              </w:rPr>
            </w:pPr>
            <w:r w:rsidRPr="007A072F">
              <w:rPr>
                <w:rFonts w:ascii="Arial" w:hAnsi="Arial" w:cs="Arial"/>
                <w:b/>
                <w:bCs/>
                <w:sz w:val="20"/>
                <w:szCs w:val="20"/>
              </w:rPr>
              <w:t>Wynik budżetu</w:t>
            </w:r>
          </w:p>
        </w:tc>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752 200,00</w:t>
            </w:r>
          </w:p>
        </w:tc>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723 018,00</w:t>
            </w:r>
          </w:p>
        </w:tc>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385 000,00</w:t>
            </w:r>
          </w:p>
        </w:tc>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385 000,00</w:t>
            </w:r>
          </w:p>
        </w:tc>
      </w:tr>
      <w:tr w:rsidR="007A072F" w:rsidRPr="007A072F">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p>
        </w:tc>
        <w:tc>
          <w:tcPr>
            <w:tcW w:w="1725"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center"/>
              <w:rPr>
                <w:rFonts w:ascii="Arial" w:hAnsi="Arial" w:cs="Arial"/>
                <w:sz w:val="20"/>
                <w:szCs w:val="20"/>
              </w:rPr>
            </w:pPr>
            <w:r w:rsidRPr="007A072F">
              <w:rPr>
                <w:rFonts w:ascii="Arial" w:hAnsi="Arial" w:cs="Arial"/>
                <w:b/>
                <w:bCs/>
                <w:sz w:val="20"/>
                <w:szCs w:val="20"/>
              </w:rPr>
              <w:t>2028</w:t>
            </w:r>
          </w:p>
        </w:tc>
        <w:tc>
          <w:tcPr>
            <w:tcW w:w="5175" w:type="dxa"/>
            <w:gridSpan w:val="3"/>
            <w:vMerge w:val="restart"/>
            <w:tcBorders>
              <w:top w:val="single" w:sz="4" w:space="0" w:color="auto"/>
              <w:left w:val="single" w:sz="4" w:space="0" w:color="auto"/>
              <w:bottom w:val="nil"/>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p>
        </w:tc>
      </w:tr>
      <w:tr w:rsidR="007A072F" w:rsidRPr="007A072F">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Arial" w:hAnsi="Arial" w:cs="Arial"/>
                <w:sz w:val="20"/>
                <w:szCs w:val="20"/>
              </w:rPr>
            </w:pPr>
            <w:r w:rsidRPr="007A072F">
              <w:rPr>
                <w:rFonts w:ascii="Arial" w:hAnsi="Arial" w:cs="Arial"/>
                <w:b/>
                <w:bCs/>
                <w:sz w:val="20"/>
                <w:szCs w:val="20"/>
              </w:rPr>
              <w:t>Dochody</w:t>
            </w:r>
          </w:p>
        </w:tc>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20 908 892,00</w:t>
            </w:r>
          </w:p>
        </w:tc>
        <w:tc>
          <w:tcPr>
            <w:tcW w:w="5175" w:type="dxa"/>
            <w:gridSpan w:val="3"/>
            <w:vMerge/>
            <w:tcBorders>
              <w:top w:val="nil"/>
              <w:left w:val="single" w:sz="4" w:space="0" w:color="auto"/>
              <w:bottom w:val="single" w:sz="4" w:space="0" w:color="auto"/>
              <w:right w:val="single" w:sz="4" w:space="0" w:color="auto"/>
            </w:tcBorders>
          </w:tcPr>
          <w:p w:rsidR="007A072F" w:rsidRPr="007A072F" w:rsidRDefault="007A072F" w:rsidP="007A072F">
            <w:pPr>
              <w:widowControl w:val="0"/>
              <w:autoSpaceDE w:val="0"/>
              <w:autoSpaceDN w:val="0"/>
              <w:adjustRightInd w:val="0"/>
              <w:spacing w:after="0" w:line="240" w:lineRule="auto"/>
              <w:rPr>
                <w:rFonts w:ascii="Arial" w:hAnsi="Arial" w:cs="Arial"/>
                <w:sz w:val="20"/>
                <w:szCs w:val="20"/>
              </w:rPr>
            </w:pPr>
          </w:p>
        </w:tc>
      </w:tr>
      <w:tr w:rsidR="007A072F" w:rsidRPr="007A072F">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Arial" w:hAnsi="Arial" w:cs="Arial"/>
                <w:sz w:val="20"/>
                <w:szCs w:val="20"/>
              </w:rPr>
            </w:pPr>
            <w:r w:rsidRPr="007A072F">
              <w:rPr>
                <w:rFonts w:ascii="Arial" w:hAnsi="Arial" w:cs="Arial"/>
                <w:b/>
                <w:bCs/>
                <w:sz w:val="20"/>
                <w:szCs w:val="20"/>
              </w:rPr>
              <w:t>Wydatki</w:t>
            </w:r>
          </w:p>
        </w:tc>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20 816 372,29</w:t>
            </w:r>
          </w:p>
        </w:tc>
        <w:tc>
          <w:tcPr>
            <w:tcW w:w="5175" w:type="dxa"/>
            <w:gridSpan w:val="3"/>
            <w:vMerge/>
            <w:tcBorders>
              <w:top w:val="nil"/>
              <w:left w:val="single" w:sz="4" w:space="0" w:color="auto"/>
              <w:bottom w:val="single" w:sz="4" w:space="0" w:color="auto"/>
              <w:right w:val="single" w:sz="4" w:space="0" w:color="auto"/>
            </w:tcBorders>
          </w:tcPr>
          <w:p w:rsidR="007A072F" w:rsidRPr="007A072F" w:rsidRDefault="007A072F" w:rsidP="007A072F">
            <w:pPr>
              <w:widowControl w:val="0"/>
              <w:autoSpaceDE w:val="0"/>
              <w:autoSpaceDN w:val="0"/>
              <w:adjustRightInd w:val="0"/>
              <w:spacing w:after="0" w:line="240" w:lineRule="auto"/>
              <w:rPr>
                <w:rFonts w:ascii="Arial" w:hAnsi="Arial" w:cs="Arial"/>
                <w:sz w:val="20"/>
                <w:szCs w:val="20"/>
              </w:rPr>
            </w:pPr>
          </w:p>
        </w:tc>
      </w:tr>
      <w:tr w:rsidR="007A072F" w:rsidRPr="007A072F">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Arial" w:hAnsi="Arial" w:cs="Arial"/>
                <w:sz w:val="20"/>
                <w:szCs w:val="20"/>
              </w:rPr>
            </w:pPr>
            <w:r w:rsidRPr="007A072F">
              <w:rPr>
                <w:rFonts w:ascii="Arial" w:hAnsi="Arial" w:cs="Arial"/>
                <w:b/>
                <w:bCs/>
                <w:sz w:val="20"/>
                <w:szCs w:val="20"/>
              </w:rPr>
              <w:t>Wynik budżetu</w:t>
            </w:r>
          </w:p>
        </w:tc>
        <w:tc>
          <w:tcPr>
            <w:tcW w:w="1725"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92 519,71</w:t>
            </w:r>
          </w:p>
        </w:tc>
        <w:tc>
          <w:tcPr>
            <w:tcW w:w="5175" w:type="dxa"/>
            <w:gridSpan w:val="3"/>
            <w:vMerge/>
            <w:tcBorders>
              <w:top w:val="nil"/>
              <w:left w:val="single" w:sz="4" w:space="0" w:color="auto"/>
              <w:bottom w:val="nil"/>
              <w:right w:val="single" w:sz="4" w:space="0" w:color="auto"/>
            </w:tcBorders>
            <w:vAlign w:val="center"/>
          </w:tcPr>
          <w:p w:rsidR="007A072F" w:rsidRPr="007A072F" w:rsidRDefault="007A072F" w:rsidP="007A072F">
            <w:pPr>
              <w:widowControl w:val="0"/>
              <w:autoSpaceDE w:val="0"/>
              <w:autoSpaceDN w:val="0"/>
              <w:adjustRightInd w:val="0"/>
              <w:spacing w:after="0" w:line="240" w:lineRule="auto"/>
              <w:rPr>
                <w:rFonts w:ascii="Arial" w:hAnsi="Arial" w:cs="Arial"/>
                <w:sz w:val="20"/>
                <w:szCs w:val="20"/>
              </w:rPr>
            </w:pPr>
          </w:p>
        </w:tc>
      </w:tr>
    </w:tbl>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sz w:val="20"/>
          <w:szCs w:val="20"/>
        </w:rPr>
        <w:t>Źródło: Opracowanie własne.</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b/>
          <w:bCs/>
          <w:sz w:val="20"/>
          <w:szCs w:val="20"/>
        </w:rPr>
        <w:t>5. Przychody</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sz w:val="20"/>
          <w:szCs w:val="20"/>
        </w:rPr>
        <w:t>W okresie objętym prognozą nie planuje się zaciągnięcia nowego zobowiązania.</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b/>
          <w:bCs/>
          <w:sz w:val="20"/>
          <w:szCs w:val="20"/>
        </w:rPr>
        <w:t>6. Rozchody</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sz w:val="20"/>
          <w:szCs w:val="20"/>
        </w:rPr>
        <w:t>Na dzień 1.01.2020 kwota zadłużenia, wpływająca na kształtowanie się wskaźnika faktycznej obsługi zadłużenia, wynikająca z zaciągniętych kredytów, pożyczek i wyemitowanych obligacji wynosi 5 489 778,87 zł, a jego spłata planowana jest do roku 2028.</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b/>
          <w:bCs/>
          <w:sz w:val="20"/>
          <w:szCs w:val="20"/>
        </w:rPr>
        <w:lastRenderedPageBreak/>
        <w:t>7. Relacja z art. 243 ustawy o finansach publicznych</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sz w:val="20"/>
          <w:szCs w:val="20"/>
        </w:rPr>
        <w:t>Zgodnie z art. 243 ust. 1 ustawy z dnia 27 sierpnia 2009 r. o finansach publicznych (</w:t>
      </w:r>
      <w:proofErr w:type="spellStart"/>
      <w:r w:rsidRPr="007A072F">
        <w:rPr>
          <w:rFonts w:ascii="Arial" w:hAnsi="Arial" w:cs="Arial"/>
          <w:sz w:val="20"/>
          <w:szCs w:val="20"/>
        </w:rPr>
        <w:t>t.j</w:t>
      </w:r>
      <w:proofErr w:type="spellEnd"/>
      <w:r w:rsidRPr="007A072F">
        <w:rPr>
          <w:rFonts w:ascii="Arial" w:hAnsi="Arial" w:cs="Arial"/>
          <w:sz w:val="20"/>
          <w:szCs w:val="20"/>
        </w:rPr>
        <w:t>. Dz. U. z 2019 r. poz. 869 z </w:t>
      </w:r>
      <w:proofErr w:type="spellStart"/>
      <w:r w:rsidRPr="007A072F">
        <w:rPr>
          <w:rFonts w:ascii="Arial" w:hAnsi="Arial" w:cs="Arial"/>
          <w:sz w:val="20"/>
          <w:szCs w:val="20"/>
        </w:rPr>
        <w:t>późn</w:t>
      </w:r>
      <w:proofErr w:type="spellEnd"/>
      <w:r w:rsidRPr="007A072F">
        <w:rPr>
          <w:rFonts w:ascii="Arial" w:hAnsi="Arial" w:cs="Arial"/>
          <w:sz w:val="20"/>
          <w:szCs w:val="20"/>
        </w:rPr>
        <w:t>. zm.) od 1 stycznia 2014 r. obowiązuje indywidualny wskaźnik zadłużenia dla samorządów. Według przepisów roczna wartość spłat zobowiązań i ich obsługi do planowanych dochodów bieżących pomniejszonych o dotacje i środki przeznaczone na cele bieżące nie może przekroczyć wskaźnika maksymalnej obsługi zadłużenia uwzględniającego wyłączenia wskazane w art. 243 ust. 3, 3a oraz 3b powyższej ustawy.</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sz w:val="20"/>
          <w:szCs w:val="20"/>
        </w:rPr>
        <w:t>Od 1 stycznia 2020 r. wskaźnik faktycznej obsługi zadłużenia został uzupełniony o umowy, które wywołują skutki ekonomiczne podobne do kredytu, pożyczki, depozytu czy emisji papierów wartościowych (zaciągnięte po 1 stycznia 2019 roku). Włączenie do wskaźnika obsługi zadłużenia ww. umów dotyczy zarówno spłaty rat, jak również wydatków bieżących na ich obsługę (odsetki, prowizje, opłaty).</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sz w:val="20"/>
          <w:szCs w:val="20"/>
        </w:rPr>
        <w:t>Kształt indywidualnego wskaźnika obsługi zadłużenia został obliczony zgodnie z wytycznymi dla okresów dostosowawczych, tj.:</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60" w:line="240" w:lineRule="auto"/>
        <w:rPr>
          <w:rFonts w:ascii="Arial" w:hAnsi="Arial" w:cs="Arial"/>
          <w:sz w:val="20"/>
          <w:szCs w:val="20"/>
        </w:rPr>
      </w:pPr>
      <w:r w:rsidRPr="007A072F">
        <w:rPr>
          <w:rFonts w:ascii="Arial" w:hAnsi="Arial" w:cs="Arial"/>
          <w:sz w:val="20"/>
          <w:szCs w:val="20"/>
        </w:rPr>
        <w:tab/>
        <w:t>1. na lata 2020-2025 w oparciu o art. 9 ust. 1 ustawy z dnia 14 grudnia 2018 r. o zmianie ustawy o finansach publicznych oraz niektórych innych ustaw;</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sz w:val="20"/>
          <w:szCs w:val="20"/>
        </w:rPr>
        <w:tab/>
        <w:t>2. od roku 2026 w oparciu o art. 9 ust. 2 ustawy z dnia 14 grudnia 2018 r. o zmianie ustawy o finansach publicznych oraz niektórych innych ustaw.</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Arial" w:hAnsi="Arial" w:cs="Arial"/>
          <w:sz w:val="20"/>
          <w:szCs w:val="20"/>
        </w:rPr>
      </w:pPr>
      <w:r w:rsidRPr="007A072F">
        <w:rPr>
          <w:rFonts w:ascii="Arial" w:hAnsi="Arial" w:cs="Arial"/>
          <w:b/>
          <w:bCs/>
          <w:sz w:val="20"/>
          <w:szCs w:val="20"/>
        </w:rPr>
        <w:t xml:space="preserve">Tabela 6. Kształtowanie się relacji z art. 243 </w:t>
      </w:r>
      <w:proofErr w:type="spellStart"/>
      <w:r w:rsidRPr="007A072F">
        <w:rPr>
          <w:rFonts w:ascii="Arial" w:hAnsi="Arial" w:cs="Arial"/>
          <w:b/>
          <w:bCs/>
          <w:sz w:val="20"/>
          <w:szCs w:val="20"/>
        </w:rPr>
        <w:t>uofp</w:t>
      </w:r>
      <w:proofErr w:type="spellEnd"/>
    </w:p>
    <w:tbl>
      <w:tblPr>
        <w:tblW w:w="0" w:type="auto"/>
        <w:tblInd w:w="10" w:type="dxa"/>
        <w:tblLayout w:type="fixed"/>
        <w:tblCellMar>
          <w:left w:w="10" w:type="dxa"/>
          <w:right w:w="10" w:type="dxa"/>
        </w:tblCellMar>
        <w:tblLook w:val="0000"/>
      </w:tblPr>
      <w:tblGrid>
        <w:gridCol w:w="2190"/>
        <w:gridCol w:w="1440"/>
        <w:gridCol w:w="1440"/>
        <w:gridCol w:w="1440"/>
        <w:gridCol w:w="1440"/>
        <w:gridCol w:w="1440"/>
      </w:tblGrid>
      <w:tr w:rsidR="007A072F" w:rsidRPr="007A072F">
        <w:tc>
          <w:tcPr>
            <w:tcW w:w="219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center"/>
              <w:rPr>
                <w:rFonts w:ascii="Arial" w:hAnsi="Arial" w:cs="Arial"/>
                <w:sz w:val="20"/>
                <w:szCs w:val="20"/>
              </w:rPr>
            </w:pPr>
            <w:r w:rsidRPr="007A072F">
              <w:rPr>
                <w:rFonts w:ascii="Arial" w:hAnsi="Arial" w:cs="Arial"/>
                <w:b/>
                <w:bCs/>
                <w:sz w:val="20"/>
                <w:szCs w:val="20"/>
              </w:rPr>
              <w:t>2020</w:t>
            </w:r>
          </w:p>
        </w:tc>
        <w:tc>
          <w:tcPr>
            <w:tcW w:w="1440"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center"/>
              <w:rPr>
                <w:rFonts w:ascii="Arial" w:hAnsi="Arial" w:cs="Arial"/>
                <w:sz w:val="20"/>
                <w:szCs w:val="20"/>
              </w:rPr>
            </w:pPr>
            <w:r w:rsidRPr="007A072F">
              <w:rPr>
                <w:rFonts w:ascii="Arial" w:hAnsi="Arial" w:cs="Arial"/>
                <w:b/>
                <w:bCs/>
                <w:sz w:val="20"/>
                <w:szCs w:val="20"/>
              </w:rPr>
              <w:t>2021</w:t>
            </w:r>
          </w:p>
        </w:tc>
        <w:tc>
          <w:tcPr>
            <w:tcW w:w="1440"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center"/>
              <w:rPr>
                <w:rFonts w:ascii="Arial" w:hAnsi="Arial" w:cs="Arial"/>
                <w:sz w:val="20"/>
                <w:szCs w:val="20"/>
              </w:rPr>
            </w:pPr>
            <w:r w:rsidRPr="007A072F">
              <w:rPr>
                <w:rFonts w:ascii="Arial" w:hAnsi="Arial" w:cs="Arial"/>
                <w:b/>
                <w:bCs/>
                <w:sz w:val="20"/>
                <w:szCs w:val="20"/>
              </w:rPr>
              <w:t>2022</w:t>
            </w:r>
          </w:p>
        </w:tc>
        <w:tc>
          <w:tcPr>
            <w:tcW w:w="1440"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center"/>
              <w:rPr>
                <w:rFonts w:ascii="Arial" w:hAnsi="Arial" w:cs="Arial"/>
                <w:sz w:val="20"/>
                <w:szCs w:val="20"/>
              </w:rPr>
            </w:pPr>
            <w:r w:rsidRPr="007A072F">
              <w:rPr>
                <w:rFonts w:ascii="Arial" w:hAnsi="Arial" w:cs="Arial"/>
                <w:b/>
                <w:bCs/>
                <w:sz w:val="20"/>
                <w:szCs w:val="20"/>
              </w:rPr>
              <w:t>2023</w:t>
            </w:r>
          </w:p>
        </w:tc>
        <w:tc>
          <w:tcPr>
            <w:tcW w:w="1440"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center"/>
              <w:rPr>
                <w:rFonts w:ascii="Arial" w:hAnsi="Arial" w:cs="Arial"/>
                <w:sz w:val="20"/>
                <w:szCs w:val="20"/>
              </w:rPr>
            </w:pPr>
            <w:r w:rsidRPr="007A072F">
              <w:rPr>
                <w:rFonts w:ascii="Arial" w:hAnsi="Arial" w:cs="Arial"/>
                <w:b/>
                <w:bCs/>
                <w:sz w:val="20"/>
                <w:szCs w:val="20"/>
              </w:rPr>
              <w:t>2024</w:t>
            </w:r>
          </w:p>
        </w:tc>
      </w:tr>
      <w:tr w:rsidR="007A072F" w:rsidRPr="007A072F">
        <w:tc>
          <w:tcPr>
            <w:tcW w:w="219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Arial" w:hAnsi="Arial" w:cs="Arial"/>
                <w:sz w:val="20"/>
                <w:szCs w:val="20"/>
              </w:rPr>
            </w:pPr>
            <w:r w:rsidRPr="007A072F">
              <w:rPr>
                <w:rFonts w:ascii="Arial" w:hAnsi="Arial" w:cs="Arial"/>
                <w:b/>
                <w:bCs/>
                <w:sz w:val="20"/>
                <w:szCs w:val="20"/>
              </w:rPr>
              <w:t>Obsługa zadłużenia (fakt. i plan. po wyłączeniach)</w:t>
            </w:r>
          </w:p>
        </w:tc>
        <w:tc>
          <w:tcPr>
            <w:tcW w:w="144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8,71%</w:t>
            </w:r>
          </w:p>
        </w:tc>
        <w:tc>
          <w:tcPr>
            <w:tcW w:w="144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8,85%</w:t>
            </w:r>
          </w:p>
        </w:tc>
        <w:tc>
          <w:tcPr>
            <w:tcW w:w="144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8,14%</w:t>
            </w:r>
          </w:p>
        </w:tc>
        <w:tc>
          <w:tcPr>
            <w:tcW w:w="144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7,88%</w:t>
            </w:r>
          </w:p>
        </w:tc>
        <w:tc>
          <w:tcPr>
            <w:tcW w:w="144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7,33%</w:t>
            </w:r>
          </w:p>
        </w:tc>
      </w:tr>
      <w:tr w:rsidR="007A072F" w:rsidRPr="007A072F">
        <w:tc>
          <w:tcPr>
            <w:tcW w:w="219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Arial" w:hAnsi="Arial" w:cs="Arial"/>
                <w:sz w:val="20"/>
                <w:szCs w:val="20"/>
              </w:rPr>
            </w:pPr>
            <w:r w:rsidRPr="007A072F">
              <w:rPr>
                <w:rFonts w:ascii="Arial" w:hAnsi="Arial" w:cs="Arial"/>
                <w:b/>
                <w:bCs/>
                <w:sz w:val="20"/>
                <w:szCs w:val="20"/>
              </w:rPr>
              <w:t>Maksymalna obsługa zadłużenia (wg planu po III kwartale 2019)</w:t>
            </w:r>
          </w:p>
        </w:tc>
        <w:tc>
          <w:tcPr>
            <w:tcW w:w="144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19,18%</w:t>
            </w:r>
          </w:p>
        </w:tc>
        <w:tc>
          <w:tcPr>
            <w:tcW w:w="144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17,73%</w:t>
            </w:r>
          </w:p>
        </w:tc>
        <w:tc>
          <w:tcPr>
            <w:tcW w:w="144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18,01%</w:t>
            </w:r>
          </w:p>
        </w:tc>
        <w:tc>
          <w:tcPr>
            <w:tcW w:w="144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19,63%</w:t>
            </w:r>
          </w:p>
        </w:tc>
        <w:tc>
          <w:tcPr>
            <w:tcW w:w="144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20,58%</w:t>
            </w:r>
          </w:p>
        </w:tc>
      </w:tr>
      <w:tr w:rsidR="007A072F" w:rsidRPr="007A072F">
        <w:tc>
          <w:tcPr>
            <w:tcW w:w="219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Arial" w:hAnsi="Arial" w:cs="Arial"/>
                <w:sz w:val="20"/>
                <w:szCs w:val="20"/>
              </w:rPr>
            </w:pPr>
            <w:r w:rsidRPr="007A072F">
              <w:rPr>
                <w:rFonts w:ascii="Arial" w:hAnsi="Arial" w:cs="Arial"/>
                <w:b/>
                <w:bCs/>
                <w:sz w:val="20"/>
                <w:szCs w:val="20"/>
              </w:rPr>
              <w:t>Maksymalna obsługa zadłużenia (wg przewidywanego wykonania 2019)</w:t>
            </w:r>
          </w:p>
        </w:tc>
        <w:tc>
          <w:tcPr>
            <w:tcW w:w="144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19,18%</w:t>
            </w:r>
          </w:p>
        </w:tc>
        <w:tc>
          <w:tcPr>
            <w:tcW w:w="144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17,73%</w:t>
            </w:r>
          </w:p>
        </w:tc>
        <w:tc>
          <w:tcPr>
            <w:tcW w:w="144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18,01%</w:t>
            </w:r>
          </w:p>
        </w:tc>
        <w:tc>
          <w:tcPr>
            <w:tcW w:w="144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19,63%</w:t>
            </w:r>
          </w:p>
        </w:tc>
        <w:tc>
          <w:tcPr>
            <w:tcW w:w="144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20,58%</w:t>
            </w:r>
          </w:p>
        </w:tc>
      </w:tr>
      <w:tr w:rsidR="007A072F" w:rsidRPr="007A072F">
        <w:tc>
          <w:tcPr>
            <w:tcW w:w="219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Arial" w:hAnsi="Arial" w:cs="Arial"/>
                <w:sz w:val="20"/>
                <w:szCs w:val="20"/>
              </w:rPr>
            </w:pPr>
            <w:r w:rsidRPr="007A072F">
              <w:rPr>
                <w:rFonts w:ascii="Arial" w:hAnsi="Arial" w:cs="Arial"/>
                <w:b/>
                <w:bCs/>
                <w:sz w:val="20"/>
                <w:szCs w:val="20"/>
              </w:rPr>
              <w:t>Zachowanie relacji z art. 243 (w oparciu o przewidywane wykonanie)</w:t>
            </w:r>
          </w:p>
        </w:tc>
        <w:tc>
          <w:tcPr>
            <w:tcW w:w="144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Tak</w:t>
            </w:r>
          </w:p>
        </w:tc>
        <w:tc>
          <w:tcPr>
            <w:tcW w:w="144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Tak</w:t>
            </w:r>
          </w:p>
        </w:tc>
        <w:tc>
          <w:tcPr>
            <w:tcW w:w="144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Tak</w:t>
            </w:r>
          </w:p>
        </w:tc>
        <w:tc>
          <w:tcPr>
            <w:tcW w:w="144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Tak</w:t>
            </w:r>
          </w:p>
        </w:tc>
        <w:tc>
          <w:tcPr>
            <w:tcW w:w="144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Tak</w:t>
            </w:r>
          </w:p>
        </w:tc>
      </w:tr>
      <w:tr w:rsidR="007A072F" w:rsidRPr="007A072F">
        <w:tc>
          <w:tcPr>
            <w:tcW w:w="219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center"/>
              <w:rPr>
                <w:rFonts w:ascii="Arial" w:hAnsi="Arial" w:cs="Arial"/>
                <w:sz w:val="20"/>
                <w:szCs w:val="20"/>
              </w:rPr>
            </w:pPr>
            <w:r w:rsidRPr="007A072F">
              <w:rPr>
                <w:rFonts w:ascii="Arial" w:hAnsi="Arial" w:cs="Arial"/>
                <w:b/>
                <w:bCs/>
                <w:sz w:val="20"/>
                <w:szCs w:val="20"/>
              </w:rPr>
              <w:t>2025</w:t>
            </w:r>
          </w:p>
        </w:tc>
        <w:tc>
          <w:tcPr>
            <w:tcW w:w="1440"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center"/>
              <w:rPr>
                <w:rFonts w:ascii="Arial" w:hAnsi="Arial" w:cs="Arial"/>
                <w:sz w:val="20"/>
                <w:szCs w:val="20"/>
              </w:rPr>
            </w:pPr>
            <w:r w:rsidRPr="007A072F">
              <w:rPr>
                <w:rFonts w:ascii="Arial" w:hAnsi="Arial" w:cs="Arial"/>
                <w:b/>
                <w:bCs/>
                <w:sz w:val="20"/>
                <w:szCs w:val="20"/>
              </w:rPr>
              <w:t>2026</w:t>
            </w:r>
          </w:p>
        </w:tc>
        <w:tc>
          <w:tcPr>
            <w:tcW w:w="1440"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center"/>
              <w:rPr>
                <w:rFonts w:ascii="Arial" w:hAnsi="Arial" w:cs="Arial"/>
                <w:sz w:val="20"/>
                <w:szCs w:val="20"/>
              </w:rPr>
            </w:pPr>
            <w:r w:rsidRPr="007A072F">
              <w:rPr>
                <w:rFonts w:ascii="Arial" w:hAnsi="Arial" w:cs="Arial"/>
                <w:b/>
                <w:bCs/>
                <w:sz w:val="20"/>
                <w:szCs w:val="20"/>
              </w:rPr>
              <w:t>2027</w:t>
            </w:r>
          </w:p>
        </w:tc>
        <w:tc>
          <w:tcPr>
            <w:tcW w:w="1440" w:type="dxa"/>
            <w:tcBorders>
              <w:top w:val="single" w:sz="4" w:space="0" w:color="auto"/>
              <w:left w:val="single" w:sz="4" w:space="0" w:color="auto"/>
              <w:bottom w:val="single" w:sz="4" w:space="0" w:color="auto"/>
              <w:right w:val="single" w:sz="4" w:space="0" w:color="auto"/>
            </w:tcBorders>
            <w:vAlign w:val="bottom"/>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center"/>
              <w:rPr>
                <w:rFonts w:ascii="Arial" w:hAnsi="Arial" w:cs="Arial"/>
                <w:sz w:val="20"/>
                <w:szCs w:val="20"/>
              </w:rPr>
            </w:pPr>
            <w:r w:rsidRPr="007A072F">
              <w:rPr>
                <w:rFonts w:ascii="Arial" w:hAnsi="Arial" w:cs="Arial"/>
                <w:b/>
                <w:bCs/>
                <w:sz w:val="20"/>
                <w:szCs w:val="20"/>
              </w:rPr>
              <w:t>2028</w:t>
            </w:r>
          </w:p>
        </w:tc>
        <w:tc>
          <w:tcPr>
            <w:tcW w:w="144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p>
        </w:tc>
      </w:tr>
      <w:tr w:rsidR="007A072F" w:rsidRPr="007A072F">
        <w:tc>
          <w:tcPr>
            <w:tcW w:w="219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Arial" w:hAnsi="Arial" w:cs="Arial"/>
                <w:sz w:val="20"/>
                <w:szCs w:val="20"/>
              </w:rPr>
            </w:pPr>
            <w:r w:rsidRPr="007A072F">
              <w:rPr>
                <w:rFonts w:ascii="Arial" w:hAnsi="Arial" w:cs="Arial"/>
                <w:b/>
                <w:bCs/>
                <w:sz w:val="20"/>
                <w:szCs w:val="20"/>
              </w:rPr>
              <w:t>Obsługa zadłużenia (fakt. i plan. po wyłączeniach)</w:t>
            </w:r>
          </w:p>
        </w:tc>
        <w:tc>
          <w:tcPr>
            <w:tcW w:w="144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6,55%</w:t>
            </w:r>
          </w:p>
        </w:tc>
        <w:tc>
          <w:tcPr>
            <w:tcW w:w="144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3,45%</w:t>
            </w:r>
          </w:p>
        </w:tc>
        <w:tc>
          <w:tcPr>
            <w:tcW w:w="144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3,13%</w:t>
            </w:r>
          </w:p>
        </w:tc>
        <w:tc>
          <w:tcPr>
            <w:tcW w:w="144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0,73%</w:t>
            </w:r>
          </w:p>
        </w:tc>
        <w:tc>
          <w:tcPr>
            <w:tcW w:w="144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p>
        </w:tc>
      </w:tr>
      <w:tr w:rsidR="007A072F" w:rsidRPr="007A072F">
        <w:tc>
          <w:tcPr>
            <w:tcW w:w="219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Arial" w:hAnsi="Arial" w:cs="Arial"/>
                <w:sz w:val="20"/>
                <w:szCs w:val="20"/>
              </w:rPr>
            </w:pPr>
            <w:r w:rsidRPr="007A072F">
              <w:rPr>
                <w:rFonts w:ascii="Arial" w:hAnsi="Arial" w:cs="Arial"/>
                <w:b/>
                <w:bCs/>
                <w:sz w:val="20"/>
                <w:szCs w:val="20"/>
              </w:rPr>
              <w:t>Maksymalna obsługa zadłużenia (wg planu po III kwartale 2019)</w:t>
            </w:r>
          </w:p>
        </w:tc>
        <w:tc>
          <w:tcPr>
            <w:tcW w:w="144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21,17%</w:t>
            </w:r>
          </w:p>
        </w:tc>
        <w:tc>
          <w:tcPr>
            <w:tcW w:w="144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21,07%</w:t>
            </w:r>
          </w:p>
        </w:tc>
        <w:tc>
          <w:tcPr>
            <w:tcW w:w="144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22,21%</w:t>
            </w:r>
          </w:p>
        </w:tc>
        <w:tc>
          <w:tcPr>
            <w:tcW w:w="144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23,08%</w:t>
            </w:r>
          </w:p>
        </w:tc>
        <w:tc>
          <w:tcPr>
            <w:tcW w:w="144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p>
        </w:tc>
      </w:tr>
      <w:tr w:rsidR="007A072F" w:rsidRPr="007A072F">
        <w:tc>
          <w:tcPr>
            <w:tcW w:w="219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Arial" w:hAnsi="Arial" w:cs="Arial"/>
                <w:sz w:val="20"/>
                <w:szCs w:val="20"/>
              </w:rPr>
            </w:pPr>
            <w:r w:rsidRPr="007A072F">
              <w:rPr>
                <w:rFonts w:ascii="Arial" w:hAnsi="Arial" w:cs="Arial"/>
                <w:b/>
                <w:bCs/>
                <w:sz w:val="20"/>
                <w:szCs w:val="20"/>
              </w:rPr>
              <w:t>Maksymalna obsługa zadłużenia (wg przewidywanego wykonania 2019)</w:t>
            </w:r>
          </w:p>
        </w:tc>
        <w:tc>
          <w:tcPr>
            <w:tcW w:w="144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21,17%</w:t>
            </w:r>
          </w:p>
        </w:tc>
        <w:tc>
          <w:tcPr>
            <w:tcW w:w="144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21,07%</w:t>
            </w:r>
          </w:p>
        </w:tc>
        <w:tc>
          <w:tcPr>
            <w:tcW w:w="144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22,21%</w:t>
            </w:r>
          </w:p>
        </w:tc>
        <w:tc>
          <w:tcPr>
            <w:tcW w:w="144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23,08%</w:t>
            </w:r>
          </w:p>
        </w:tc>
        <w:tc>
          <w:tcPr>
            <w:tcW w:w="144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p>
        </w:tc>
      </w:tr>
      <w:tr w:rsidR="007A072F" w:rsidRPr="007A072F">
        <w:tc>
          <w:tcPr>
            <w:tcW w:w="219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Arial" w:hAnsi="Arial" w:cs="Arial"/>
                <w:sz w:val="20"/>
                <w:szCs w:val="20"/>
              </w:rPr>
            </w:pPr>
            <w:r w:rsidRPr="007A072F">
              <w:rPr>
                <w:rFonts w:ascii="Arial" w:hAnsi="Arial" w:cs="Arial"/>
                <w:b/>
                <w:bCs/>
                <w:sz w:val="20"/>
                <w:szCs w:val="20"/>
              </w:rPr>
              <w:t>Zachowanie relacji z art. 243 (w oparciu o przewidywane wykonanie)</w:t>
            </w:r>
          </w:p>
        </w:tc>
        <w:tc>
          <w:tcPr>
            <w:tcW w:w="144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Tak</w:t>
            </w:r>
          </w:p>
        </w:tc>
        <w:tc>
          <w:tcPr>
            <w:tcW w:w="144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Tak</w:t>
            </w:r>
          </w:p>
        </w:tc>
        <w:tc>
          <w:tcPr>
            <w:tcW w:w="144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Tak</w:t>
            </w:r>
          </w:p>
        </w:tc>
        <w:tc>
          <w:tcPr>
            <w:tcW w:w="144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r w:rsidRPr="007A072F">
              <w:rPr>
                <w:rFonts w:ascii="Arial" w:hAnsi="Arial" w:cs="Arial"/>
                <w:sz w:val="20"/>
                <w:szCs w:val="20"/>
              </w:rPr>
              <w:t>Tak</w:t>
            </w:r>
          </w:p>
        </w:tc>
        <w:tc>
          <w:tcPr>
            <w:tcW w:w="1440" w:type="dxa"/>
            <w:tcBorders>
              <w:top w:val="single" w:sz="4" w:space="0" w:color="auto"/>
              <w:left w:val="single" w:sz="4" w:space="0" w:color="auto"/>
              <w:bottom w:val="single" w:sz="4" w:space="0" w:color="auto"/>
              <w:right w:val="single" w:sz="4" w:space="0" w:color="auto"/>
            </w:tcBorders>
          </w:tcPr>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right"/>
              <w:rPr>
                <w:rFonts w:ascii="Arial" w:hAnsi="Arial" w:cs="Arial"/>
                <w:sz w:val="20"/>
                <w:szCs w:val="20"/>
              </w:rPr>
            </w:pPr>
          </w:p>
        </w:tc>
      </w:tr>
    </w:tbl>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sz w:val="20"/>
          <w:szCs w:val="20"/>
        </w:rPr>
        <w:t>Źródło: Opracowanie własne</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both"/>
        <w:rPr>
          <w:rFonts w:ascii="Arial" w:hAnsi="Arial" w:cs="Arial"/>
          <w:sz w:val="20"/>
          <w:szCs w:val="20"/>
        </w:rPr>
      </w:pPr>
      <w:r w:rsidRPr="007A072F">
        <w:rPr>
          <w:rFonts w:ascii="Arial" w:hAnsi="Arial" w:cs="Arial"/>
          <w:sz w:val="20"/>
          <w:szCs w:val="20"/>
        </w:rPr>
        <w:t>Graficzne przedstawienie relacji prezentuje wykres poniżej.</w:t>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jc w:val="center"/>
        <w:rPr>
          <w:rFonts w:ascii="Arial" w:hAnsi="Arial" w:cs="Arial"/>
          <w:sz w:val="20"/>
          <w:szCs w:val="20"/>
        </w:rPr>
      </w:pPr>
      <w:r>
        <w:rPr>
          <w:rFonts w:ascii="Calibri" w:hAnsi="Calibri" w:cs="Calibri"/>
          <w:noProof/>
          <w:sz w:val="20"/>
          <w:szCs w:val="20"/>
          <w:lang w:eastAsia="pl-PL"/>
        </w:rPr>
        <w:drawing>
          <wp:inline distT="0" distB="0" distL="0" distR="0">
            <wp:extent cx="5667375" cy="4352925"/>
            <wp:effectExtent l="19050" t="0" r="9525" b="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srcRect/>
                    <a:stretch>
                      <a:fillRect/>
                    </a:stretch>
                  </pic:blipFill>
                  <pic:spPr bwMode="auto">
                    <a:xfrm>
                      <a:off x="0" y="0"/>
                      <a:ext cx="5667375" cy="4352925"/>
                    </a:xfrm>
                    <a:prstGeom prst="rect">
                      <a:avLst/>
                    </a:prstGeom>
                    <a:noFill/>
                    <a:ln w="9525">
                      <a:noFill/>
                      <a:miter lim="800000"/>
                      <a:headEnd/>
                      <a:tailEnd/>
                    </a:ln>
                  </pic:spPr>
                </pic:pic>
              </a:graphicData>
            </a:graphic>
          </wp:inline>
        </w:drawing>
      </w:r>
    </w:p>
    <w:p w:rsidR="007A072F" w:rsidRPr="007A072F" w:rsidRDefault="007A072F" w:rsidP="007A07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rPr>
          <w:rFonts w:ascii="Arial" w:hAnsi="Arial" w:cs="Arial"/>
          <w:sz w:val="20"/>
          <w:szCs w:val="20"/>
        </w:rPr>
      </w:pPr>
    </w:p>
    <w:p w:rsidR="00CE4628" w:rsidRDefault="00CE4628"/>
    <w:sectPr w:rsidR="00CE4628" w:rsidSect="006E1037">
      <w:pgSz w:w="12240" w:h="15840"/>
      <w:pgMar w:top="1440" w:right="1800" w:bottom="1440" w:left="1800" w:header="720" w:footer="720" w:gutter="0"/>
      <w:cols w:space="708"/>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7A072F"/>
    <w:rsid w:val="007A072F"/>
    <w:rsid w:val="00CE462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E4628"/>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7A072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A072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emf"/><Relationship Id="rId13" Type="http://schemas.openxmlformats.org/officeDocument/2006/relationships/image" Target="media/image10.emf"/><Relationship Id="rId3" Type="http://schemas.openxmlformats.org/officeDocument/2006/relationships/webSettings" Target="webSettings.xml"/><Relationship Id="rId7" Type="http://schemas.openxmlformats.org/officeDocument/2006/relationships/image" Target="media/image4.emf"/><Relationship Id="rId12" Type="http://schemas.openxmlformats.org/officeDocument/2006/relationships/image" Target="media/image9.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emf"/><Relationship Id="rId11" Type="http://schemas.openxmlformats.org/officeDocument/2006/relationships/image" Target="media/image8.emf"/><Relationship Id="rId5" Type="http://schemas.openxmlformats.org/officeDocument/2006/relationships/image" Target="media/image2.emf"/><Relationship Id="rId15" Type="http://schemas.openxmlformats.org/officeDocument/2006/relationships/theme" Target="theme/theme1.xml"/><Relationship Id="rId10" Type="http://schemas.openxmlformats.org/officeDocument/2006/relationships/image" Target="media/image7.emf"/><Relationship Id="rId4" Type="http://schemas.openxmlformats.org/officeDocument/2006/relationships/image" Target="media/image1.emf"/><Relationship Id="rId9" Type="http://schemas.openxmlformats.org/officeDocument/2006/relationships/image" Target="media/image6.emf"/><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2158</Words>
  <Characters>12949</Characters>
  <Application>Microsoft Office Word</Application>
  <DocSecurity>0</DocSecurity>
  <Lines>107</Lines>
  <Paragraphs>30</Paragraphs>
  <ScaleCrop>false</ScaleCrop>
  <Company/>
  <LinksUpToDate>false</LinksUpToDate>
  <CharactersWithSpaces>15077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Aleksandra Woźniak</dc:creator>
  <cp:lastModifiedBy>Aleksandra Woźniak</cp:lastModifiedBy>
  <cp:revision>2</cp:revision>
  <dcterms:created xsi:type="dcterms:W3CDTF">2019-11-14T14:40:00Z</dcterms:created>
  <dcterms:modified xsi:type="dcterms:W3CDTF">2019-11-14T14:40:00Z</dcterms:modified>
</cp:coreProperties>
</file>